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jc w:val="both"/>
        <w:rPr>
          <w:rFonts w:ascii="Arial" w:cs="Arial" w:eastAsia="Arial" w:hAnsi="Arial"/>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2">
      <w:pPr>
        <w:spacing w:after="48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20" w:before="720" w:lineRule="auto"/>
        <w:jc w:val="center"/>
        <w:rPr>
          <w:rFonts w:ascii="Arial" w:cs="Arial" w:eastAsia="Arial" w:hAnsi="Arial"/>
          <w:b w:val="1"/>
          <w:smallCaps w:val="1"/>
          <w:color w:val="000000"/>
          <w:sz w:val="28"/>
          <w:szCs w:val="28"/>
        </w:rPr>
      </w:pPr>
      <w:r w:rsidDel="00000000" w:rsidR="00000000" w:rsidRPr="00000000">
        <w:rPr>
          <w:rFonts w:ascii="Arial" w:cs="Arial" w:eastAsia="Arial" w:hAnsi="Arial"/>
          <w:b w:val="1"/>
          <w:smallCaps w:val="1"/>
          <w:color w:val="000000"/>
          <w:sz w:val="28"/>
          <w:szCs w:val="28"/>
          <w:rtl w:val="0"/>
        </w:rPr>
        <w:t xml:space="preserve">PROJETO DE LEI DE CONVERSÃO Nº 17, DE 2019</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(Proveniente da Medida Provisória nº 881, de 2019)</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240" w:before="720" w:lineRule="auto"/>
        <w:ind w:left="3686" w:firstLine="566.000000000000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Institui a Declaração de Direitos de Liberdade Econômica, estabelece garantias de livre mercado, análise de impacto regulatório, e dá outras providências.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600" w:before="72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Congresso Nacional decreta:</w:t>
      </w:r>
    </w:p>
    <w:bookmarkStart w:colFirst="0" w:colLast="0" w:name="30j0zll" w:id="1"/>
    <w:bookmarkEnd w:id="1"/>
    <w:p w:rsidR="00000000" w:rsidDel="00000000" w:rsidP="00000000" w:rsidRDefault="00000000" w:rsidRPr="00000000" w14:paraId="00000007">
      <w:pPr>
        <w:jc w:val="center"/>
        <w:rPr>
          <w:rFonts w:ascii="Arial-BoldMT" w:cs="Arial-BoldMT" w:eastAsia="Arial-BoldMT" w:hAnsi="Arial-BoldMT"/>
        </w:rPr>
      </w:pPr>
      <w:r w:rsidDel="00000000" w:rsidR="00000000" w:rsidRPr="00000000">
        <w:rPr>
          <w:rFonts w:ascii="Arial-BoldMT" w:cs="Arial-BoldMT" w:eastAsia="Arial-BoldMT" w:hAnsi="Arial-BoldMT"/>
          <w:rtl w:val="0"/>
        </w:rPr>
        <w:t xml:space="preserve">CAPÍTULO I</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00" w:line="360" w:lineRule="auto"/>
        <w:jc w:val="center"/>
        <w:rPr>
          <w:rFonts w:ascii="Arial" w:cs="Arial" w:eastAsia="Arial" w:hAnsi="Arial"/>
          <w:color w:val="000000"/>
          <w:sz w:val="24"/>
          <w:szCs w:val="24"/>
        </w:rPr>
      </w:pPr>
      <w:r w:rsidDel="00000000" w:rsidR="00000000" w:rsidRPr="00000000">
        <w:rPr>
          <w:rFonts w:ascii="Arial-BoldMT" w:cs="Arial-BoldMT" w:eastAsia="Arial-BoldMT" w:hAnsi="Arial-BoldMT"/>
          <w:rtl w:val="0"/>
        </w:rPr>
        <w:t xml:space="preserve">DISPOSIÇÕES GERAIS</w:t>
      </w:r>
      <w:r w:rsidDel="00000000" w:rsidR="00000000" w:rsidRPr="00000000">
        <w:rPr>
          <w:rtl w:val="0"/>
        </w:rPr>
      </w:r>
    </w:p>
    <w:p w:rsidR="00000000" w:rsidDel="00000000" w:rsidP="00000000" w:rsidRDefault="00000000" w:rsidRPr="00000000" w14:paraId="00000009">
      <w:pPr>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1º Fica instituída a Declaração de Direitos de Liberdade Econômica, que estabelece normas de proteção à livre iniciativa e ao livre exercício de atividade econômica e disposições sobre a atuação do Estado como agente normativo e regulador, nos termos do disposto no </w:t>
      </w:r>
      <w:hyperlink r:id="rId6">
        <w:r w:rsidDel="00000000" w:rsidR="00000000" w:rsidRPr="00000000">
          <w:rPr>
            <w:rFonts w:ascii="Arial" w:cs="Arial" w:eastAsia="Arial" w:hAnsi="Arial"/>
            <w:sz w:val="24"/>
            <w:szCs w:val="24"/>
            <w:rtl w:val="0"/>
          </w:rPr>
          <w:t xml:space="preserve">inciso IV do caput do art. 1º, no parágrafo único do art. 170 e no caput do art. 174 da Constituição</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B">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1º O disposto nesta Lei será observado na aplicação e na interpretação de Direito Civil, Empresarial, Econômico, Urbanístico, e do Trabalho, nas relações jurídicas que se encontrem no seu âmbito de aplicação, e na ordenação pública, inclusive sobre o exercício das profissões, comércio, juntas comerciais, registros públicos, trânsito e transporte e proteção ao meio ambiente.</w:t>
      </w:r>
    </w:p>
    <w:p w:rsidR="00000000" w:rsidDel="00000000" w:rsidP="00000000" w:rsidRDefault="00000000" w:rsidRPr="00000000" w14:paraId="0000000C">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2º Interpretam-se em favor da liberdade econômica, da boa-fé e do respeito aos contratos, aos investimentos e à propriedade todas as normas de ordenação pública sobre atividades econômicas privadas.</w:t>
      </w:r>
    </w:p>
    <w:p w:rsidR="00000000" w:rsidDel="00000000" w:rsidP="00000000" w:rsidRDefault="00000000" w:rsidRPr="00000000" w14:paraId="0000000D">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3º  Ressalvado o disposto no inciso X do caput do art. 3º, o disposto no art. 1º ao art. 4º não se aplica ao direito tributário e ao direito financeiro.</w:t>
      </w:r>
    </w:p>
    <w:p w:rsidR="00000000" w:rsidDel="00000000" w:rsidP="00000000" w:rsidRDefault="00000000" w:rsidRPr="00000000" w14:paraId="0000000E">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4º  O disposto no art. 1º ao art. 4º constitui norma geral de direito econômico, conforme o disposto no inciso I do caput e nos § 1º e § 4º do art. 24 da Constituição, e será observado para todos os atos públicos de liberação da atividade econômica executados pelos Estados, pelo Distrito Federal e pelos Municípios, observado o disposto no § 2º.</w:t>
      </w:r>
    </w:p>
    <w:p w:rsidR="00000000" w:rsidDel="00000000" w:rsidP="00000000" w:rsidRDefault="00000000" w:rsidRPr="00000000" w14:paraId="0000000F">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5º  O disposto no inciso IX do caput do art. 3º não se aplica aos Estados, ao Distrito Federal e aos Municípios, exceto se:</w:t>
      </w:r>
    </w:p>
    <w:p w:rsidR="00000000" w:rsidDel="00000000" w:rsidP="00000000" w:rsidRDefault="00000000" w:rsidRPr="00000000" w14:paraId="00000010">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o ato público de liberação da atividade econômica for derivado ou delegado por legislação ordinária federal; ou</w:t>
      </w:r>
    </w:p>
    <w:p w:rsidR="00000000" w:rsidDel="00000000" w:rsidP="00000000" w:rsidRDefault="00000000" w:rsidRPr="00000000" w14:paraId="00000011">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o ente federativo ou o órgão responsável pelo ato decidir se vincular ao disposto no inciso IX do caput do art. 3º por meio de instrumento válido e próprio.</w:t>
      </w:r>
    </w:p>
    <w:p w:rsidR="00000000" w:rsidDel="00000000" w:rsidP="00000000" w:rsidRDefault="00000000" w:rsidRPr="00000000" w14:paraId="00000012">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6º Para fins do disposto nesta Lei, consideram-se atos públicos de liberação: a licença, a autorização, a concessão, a inscrição, a permissão, o alvará, o cadastro, o credenciamento, o estudo, o plano, o registro, e os demais atos exigidos, sob qualquer denominação, por órgão ou entidade da administração pública na aplicação de legislação, como condição para o exercício de atividade econômica, inclusive o início, a continuação, o fim para a instalação, a construção, a operação, a produção, o funcionamento, o uso, o exercício ou a realização, no âmbito público ou privado, de atividade, serviço, estabelecimento, profissão, instalação, operação, produto, equipamento, veículo, edificação e outros;</w:t>
      </w:r>
    </w:p>
    <w:p w:rsidR="00000000" w:rsidDel="00000000" w:rsidP="00000000" w:rsidRDefault="00000000" w:rsidRPr="00000000" w14:paraId="00000013">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2º São princípios que norteiam o disposto nesta Lei: </w:t>
      </w:r>
    </w:p>
    <w:p w:rsidR="00000000" w:rsidDel="00000000" w:rsidP="00000000" w:rsidRDefault="00000000" w:rsidRPr="00000000" w14:paraId="00000014">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a liberdade como uma garantia no exercício de atividades econômicas;</w:t>
      </w:r>
    </w:p>
    <w:p w:rsidR="00000000" w:rsidDel="00000000" w:rsidP="00000000" w:rsidRDefault="00000000" w:rsidRPr="00000000" w14:paraId="00000015">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a boa-fé do particular perante o Poder Público;</w:t>
      </w:r>
    </w:p>
    <w:p w:rsidR="00000000" w:rsidDel="00000000" w:rsidP="00000000" w:rsidRDefault="00000000" w:rsidRPr="00000000" w14:paraId="00000016">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a intervenção subsidiária e excepcional do Estado sobre o exercício de atividades econômicas; e</w:t>
      </w:r>
    </w:p>
    <w:p w:rsidR="00000000" w:rsidDel="00000000" w:rsidP="00000000" w:rsidRDefault="00000000" w:rsidRPr="00000000" w14:paraId="00000017">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 – o reconhecimento da vulnerabilidade do particular perante o Estado. </w:t>
      </w:r>
    </w:p>
    <w:p w:rsidR="00000000" w:rsidDel="00000000" w:rsidP="00000000" w:rsidRDefault="00000000" w:rsidRPr="00000000" w14:paraId="00000018">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único. Regulamento disporá sobre os critérios de aferição para afastamento do inciso IV, limitados a questões de má-fé, hipersuficiência ou reincidência. </w:t>
      </w:r>
    </w:p>
    <w:p w:rsidR="00000000" w:rsidDel="00000000" w:rsidP="00000000" w:rsidRDefault="00000000" w:rsidRPr="00000000" w14:paraId="00000019">
      <w:pPr>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II</w:t>
      </w:r>
    </w:p>
    <w:p w:rsidR="00000000" w:rsidDel="00000000" w:rsidP="00000000" w:rsidRDefault="00000000" w:rsidRPr="00000000" w14:paraId="0000001B">
      <w:pPr>
        <w:spacing w:after="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 DECLARAÇÃO DE DIREITOS DE LIBERDADE</w:t>
      </w:r>
    </w:p>
    <w:p w:rsidR="00000000" w:rsidDel="00000000" w:rsidP="00000000" w:rsidRDefault="00000000" w:rsidRPr="00000000" w14:paraId="0000001C">
      <w:pPr>
        <w:spacing w:after="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ECONÔMICA</w:t>
      </w:r>
    </w:p>
    <w:p w:rsidR="00000000" w:rsidDel="00000000" w:rsidP="00000000" w:rsidRDefault="00000000" w:rsidRPr="00000000" w14:paraId="0000001D">
      <w:pPr>
        <w:spacing w:after="12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3º São direitos de toda pessoa, natural ou jurídica, essenciais para o desenvolvimento e o crescimento econômicos do País, observado o disposto no parágrafo único do art. 170 da Constituição:</w:t>
      </w:r>
    </w:p>
    <w:p w:rsidR="00000000" w:rsidDel="00000000" w:rsidP="00000000" w:rsidRDefault="00000000" w:rsidRPr="00000000" w14:paraId="0000001F">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desenvolver atividade econômica de baixo risco, para a qual se valha exclusivamente de propriedade privada própria ou de terceiros consensuais, sem a necessidade de quaisquer atos públicos de liberação da atividade econômica;</w:t>
      </w:r>
    </w:p>
    <w:p w:rsidR="00000000" w:rsidDel="00000000" w:rsidP="00000000" w:rsidRDefault="00000000" w:rsidRPr="00000000" w14:paraId="00000020">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desenvolver atividade econômica em qualquer horário ou dia da semana, inclusive feriados, sem que para isso esteja sujeito a cobranças ou encargos adicionais, observadas:</w:t>
      </w:r>
    </w:p>
    <w:p w:rsidR="00000000" w:rsidDel="00000000" w:rsidP="00000000" w:rsidRDefault="00000000" w:rsidRPr="00000000" w14:paraId="00000021">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as normas de proteção ao meio ambiente, incluídas as de repressão à poluição sonora e à perturbação do sossego público;</w:t>
      </w:r>
    </w:p>
    <w:p w:rsidR="00000000" w:rsidDel="00000000" w:rsidP="00000000" w:rsidRDefault="00000000" w:rsidRPr="00000000" w14:paraId="00000022">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as restrições advindas de contrato, regulamento condominial ou outro negócio jurídico, bem como as decorrentes das normas de direito real, incluindo as de direito de vizinhança; e</w:t>
      </w:r>
    </w:p>
    <w:p w:rsidR="00000000" w:rsidDel="00000000" w:rsidP="00000000" w:rsidRDefault="00000000" w:rsidRPr="00000000" w14:paraId="00000023">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a legislação trabalhista;</w:t>
      </w:r>
    </w:p>
    <w:p w:rsidR="00000000" w:rsidDel="00000000" w:rsidP="00000000" w:rsidRDefault="00000000" w:rsidRPr="00000000" w14:paraId="00000024">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definir livremente, em mercados não regulados, o preço de produtos e de serviços como consequência de alterações da oferta e da demanda;</w:t>
      </w:r>
    </w:p>
    <w:p w:rsidR="00000000" w:rsidDel="00000000" w:rsidP="00000000" w:rsidRDefault="00000000" w:rsidRPr="00000000" w14:paraId="00000025">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 - receber tratamento isonômico de órgãos e de entidades da administração pública quanto ao exercício de atos de liberação da atividade econômica, hipótese em que o ato de liberação estará vinculado aos mesmos critérios de interpretação adotados em decisões administrativas análogas anteriores, observado o disposto em regulamento;</w:t>
      </w:r>
    </w:p>
    <w:p w:rsidR="00000000" w:rsidDel="00000000" w:rsidP="00000000" w:rsidRDefault="00000000" w:rsidRPr="00000000" w14:paraId="00000026">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 - gozar de presunção de boa-fé nos atos praticados no exercício da atividade econômica, para os quais as dúvidas de interpretação do Direito Civil, Empresarial, Econômico e Urbanístico serão resolvidas de forma a preservar a autonomia privada, exceto se houver expressa disposição legal em contrário;</w:t>
      </w:r>
    </w:p>
    <w:p w:rsidR="00000000" w:rsidDel="00000000" w:rsidP="00000000" w:rsidRDefault="00000000" w:rsidRPr="00000000" w14:paraId="00000027">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 - desenvolver, executar, operar ou comercializar novas modalidades de produtos e de serviços quando as normas infralegais se tornarem desatualizadas por força de desenvolvimento tecnológico consolidado internacionalmente, nos termos estabelecidos em regulamento, que disciplinará os requisitos para aferição da situação concreta, os procedimentos, o momento e as condições dos efeitos;</w:t>
      </w:r>
    </w:p>
    <w:p w:rsidR="00000000" w:rsidDel="00000000" w:rsidP="00000000" w:rsidRDefault="00000000" w:rsidRPr="00000000" w14:paraId="00000028">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VII - testar e oferecer, gratuitamente ou não, um novo produto ou serviço para um grupo restrito de pessoas capazes, com utilização de bens próprios ou terceiros mediante autorização destes, após livre e claro consentimento, sem requerimento ou ato público de liberação da atividade econômica, exceto em lei federal;</w:t>
      </w:r>
    </w:p>
    <w:p w:rsidR="00000000" w:rsidDel="00000000" w:rsidP="00000000" w:rsidRDefault="00000000" w:rsidRPr="00000000" w14:paraId="00000029">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VIII - ter a garantia de que os negócios jurídicos empresariais paritários serão objeto de livre estipulação das partes pactuantes, de forma a aplicar todas as regras de direito empresarial apenas de maneira subsidiária ao avençado, hipótese em que nenhuma norma de ordem pública dessa matéria será usada para beneficiar a parte que pactuou contra ela, exceto se para resguardar direitos tutelados pela administração pública ou de terceiros alheios ao contrato;</w:t>
      </w:r>
    </w:p>
    <w:p w:rsidR="00000000" w:rsidDel="00000000" w:rsidP="00000000" w:rsidRDefault="00000000" w:rsidRPr="00000000" w14:paraId="0000002A">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IX - ter a garantia de que, nas solicitações de atos públicos de liberação da atividade econômica que se sujeitam ao disposto nesta Medida Provisória, apresentados todos os elementos necessários à instrução do processo, o particular receberá imediatamente um prazo expresso que estipulará o tempo máximo para a devida análise de seu pedido e que, transcorrido o prazo fixado, na hipótese de silêncio da autoridade competente, importará em aprovação tácita para todos os efeitos, ressalvadas as hipóteses expressamente vedadas na lei; </w:t>
      </w:r>
    </w:p>
    <w:p w:rsidR="00000000" w:rsidDel="00000000" w:rsidP="00000000" w:rsidRDefault="00000000" w:rsidRPr="00000000" w14:paraId="0000002B">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 arquivar qualquer documento por meio de microfilme ou por meio digital, conforme técnica e requisitos estabelecidos em regulamento, hipótese em que se equiparará a documento físico para todos os efeitos legais e para a comprovação de qualquer ato de direito público; e,</w:t>
      </w:r>
    </w:p>
    <w:p w:rsidR="00000000" w:rsidDel="00000000" w:rsidP="00000000" w:rsidRDefault="00000000" w:rsidRPr="00000000" w14:paraId="0000002C">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XI – não ser exigida medida ou prestação compensatória ou mitigatória abusiva, em sede de estudos de impacto ou outras liberações de atividade econômica no direito urbanístico, entendida como aquela que:</w:t>
      </w:r>
    </w:p>
    <w:p w:rsidR="00000000" w:rsidDel="00000000" w:rsidP="00000000" w:rsidRDefault="00000000" w:rsidRPr="00000000" w14:paraId="0000002D">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distorça sua função mitigatória ou compensatória de modo a instituir um regime de tributação fora do direito tributário;</w:t>
      </w:r>
    </w:p>
    <w:p w:rsidR="00000000" w:rsidDel="00000000" w:rsidP="00000000" w:rsidRDefault="00000000" w:rsidRPr="00000000" w14:paraId="0000002E">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requeira medida que já era planejada para execução antes da solicitação pelo particular, sem que a atividade econômica altere a demanda para execução da mesma;</w:t>
      </w:r>
    </w:p>
    <w:p w:rsidR="00000000" w:rsidDel="00000000" w:rsidP="00000000" w:rsidRDefault="00000000" w:rsidRPr="00000000" w14:paraId="0000002F">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utilize-se do particular para realizar execuções que compensem impactos que existiriam independentemente do empreendimento ou atividade econômica solicitada;</w:t>
      </w:r>
    </w:p>
    <w:p w:rsidR="00000000" w:rsidDel="00000000" w:rsidP="00000000" w:rsidRDefault="00000000" w:rsidRPr="00000000" w14:paraId="00000030">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 requeira a execução ou prestação de qualquer tipo para áreas ou situação além daquelas diretamente impactadas pela atividade econômica; ou</w:t>
      </w:r>
    </w:p>
    <w:p w:rsidR="00000000" w:rsidDel="00000000" w:rsidP="00000000" w:rsidRDefault="00000000" w:rsidRPr="00000000" w14:paraId="00000031">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 mostre-se sem razoabilidade ou desproporcional, inclusive utilizada como meio de coação ou intimidação.</w:t>
      </w:r>
    </w:p>
    <w:p w:rsidR="00000000" w:rsidDel="00000000" w:rsidP="00000000" w:rsidRDefault="00000000" w:rsidRPr="00000000" w14:paraId="00000032">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XII – não ser exigida pela Administração Pública direta ou indireta certidão sem previsão expressa em Lei.</w:t>
      </w:r>
    </w:p>
    <w:p w:rsidR="00000000" w:rsidDel="00000000" w:rsidP="00000000" w:rsidRDefault="00000000" w:rsidRPr="00000000" w14:paraId="00000033">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1º Para fins do disposto no inciso I do caput:</w:t>
      </w:r>
    </w:p>
    <w:p w:rsidR="00000000" w:rsidDel="00000000" w:rsidP="00000000" w:rsidRDefault="00000000" w:rsidRPr="00000000" w14:paraId="00000034">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ato do Poder Executivo federal disporá sobre a classificação de atividades de baixo risco a ser observada na ausência de legislação estadual, distrital ou municipal específica;</w:t>
      </w:r>
    </w:p>
    <w:p w:rsidR="00000000" w:rsidDel="00000000" w:rsidP="00000000" w:rsidRDefault="00000000" w:rsidRPr="00000000" w14:paraId="00000035">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na hipótese de ausência de ato do Poder Executivo federal de que trata o inciso I do § 1º, será aplicada resolução do para a Simplificação do Registro e da Legalização de Empresas e Negócios - CGSIM, independentemente da aderência do ente federativo à Rede Nacional para a Simplificação do Registro e da Legalização de Empresas e Negócios - Redesim; e</w:t>
      </w:r>
    </w:p>
    <w:p w:rsidR="00000000" w:rsidDel="00000000" w:rsidP="00000000" w:rsidRDefault="00000000" w:rsidRPr="00000000" w14:paraId="00000036">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na hipótese de existência de legislação estadual, distrital ou municipal sobre a classificação de atividades de baixo risco, o ente federativo que editar ou tiver editado norma específica, encaminhará notificação ao Ministério da Economia sobre a edição de sua norma.</w:t>
      </w:r>
    </w:p>
    <w:p w:rsidR="00000000" w:rsidDel="00000000" w:rsidP="00000000" w:rsidRDefault="00000000" w:rsidRPr="00000000" w14:paraId="00000037">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2º A fiscalização do exercício do direito de que trata o inciso I do caput será realizada posteriormente, de ofício ou como consequência de denúncia encaminhada à autoridade competente.</w:t>
      </w:r>
    </w:p>
    <w:p w:rsidR="00000000" w:rsidDel="00000000" w:rsidP="00000000" w:rsidRDefault="00000000" w:rsidRPr="00000000" w14:paraId="00000038">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3º O disposto no inciso III do caput não se aplica:</w:t>
      </w:r>
    </w:p>
    <w:p w:rsidR="00000000" w:rsidDel="00000000" w:rsidP="00000000" w:rsidRDefault="00000000" w:rsidRPr="00000000" w14:paraId="00000039">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às situações em que o preço de produtos e de serviços seja utilizado com a finalidade de reduzir o valor do tributo, de postergar a sua arrecadação ou de remeter lucros em forma de custos ao exterior; e</w:t>
      </w:r>
    </w:p>
    <w:p w:rsidR="00000000" w:rsidDel="00000000" w:rsidP="00000000" w:rsidRDefault="00000000" w:rsidRPr="00000000" w14:paraId="0000003A">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à legislação da defesa da concorrência, aos direitos do consumidor e às demais disposições protegidas por Lei federal.</w:t>
      </w:r>
    </w:p>
    <w:p w:rsidR="00000000" w:rsidDel="00000000" w:rsidP="00000000" w:rsidRDefault="00000000" w:rsidRPr="00000000" w14:paraId="0000003B">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4º Para fins do disposto no inciso VII do caput, entende-se como restrito o grupo de integrantes não superior aos limites específicos estabelecidos para a prática da modalidade de implementação, teste ou</w:t>
        <w:tab/>
        <w:t xml:space="preserve">oferta, conforme estabelecido em Portaria do Secretário Especial de Produtividade, Emprego e Competividade do Ministério da Economia.</w:t>
      </w:r>
    </w:p>
    <w:p w:rsidR="00000000" w:rsidDel="00000000" w:rsidP="00000000" w:rsidRDefault="00000000" w:rsidRPr="00000000" w14:paraId="0000003C">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5º O disposto no inciso VIII do caput não se aplica à empresa pública e à sociedade de economia mista definidas no art. 3º e no art. 4º da Lei nº 13.303, de 30 de junho de 2016.</w:t>
      </w:r>
    </w:p>
    <w:p w:rsidR="00000000" w:rsidDel="00000000" w:rsidP="00000000" w:rsidRDefault="00000000" w:rsidRPr="00000000" w14:paraId="0000003D">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6º O disposto no inciso IX do caput não se aplica quando:</w:t>
      </w:r>
    </w:p>
    <w:p w:rsidR="00000000" w:rsidDel="00000000" w:rsidP="00000000" w:rsidRDefault="00000000" w:rsidRPr="00000000" w14:paraId="0000003E">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versar sobre questões tributárias de qualquer espécie ou de concessão de registro de marcas;</w:t>
      </w:r>
    </w:p>
    <w:p w:rsidR="00000000" w:rsidDel="00000000" w:rsidP="00000000" w:rsidRDefault="00000000" w:rsidRPr="00000000" w14:paraId="0000003F">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a decisão importar em compromisso financeiro da administração pública; e</w:t>
      </w:r>
    </w:p>
    <w:p w:rsidR="00000000" w:rsidDel="00000000" w:rsidP="00000000" w:rsidRDefault="00000000" w:rsidRPr="00000000" w14:paraId="00000040">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houver objeção expressa em tratado em vigor no País.</w:t>
      </w:r>
    </w:p>
    <w:p w:rsidR="00000000" w:rsidDel="00000000" w:rsidP="00000000" w:rsidRDefault="00000000" w:rsidRPr="00000000" w14:paraId="00000041">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7º A aprovação tácita prevista no inciso IX do caput não se aplica quando a titularidade da solicitação for de agente público ou de seu cônjuge, companheiro ou parente em linha reta ou colateral, por consanguinidade ou afinidade, até o terceiro grau, dirigida a autoridade administrativa ou política do próprio órgão ou entidade da administração pública em que desenvolva suas atividades funcionais.</w:t>
      </w:r>
    </w:p>
    <w:p w:rsidR="00000000" w:rsidDel="00000000" w:rsidP="00000000" w:rsidRDefault="00000000" w:rsidRPr="00000000" w14:paraId="00000042">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8º Os prazos a que se refere o inciso IX do caput serão definidos pelo órgão ou pela entidade da administração pública solicitada, observados os princípios da impessoalidade e eficiência e os limites máximos estabelecidos em regulamento.</w:t>
      </w:r>
    </w:p>
    <w:p w:rsidR="00000000" w:rsidDel="00000000" w:rsidP="00000000" w:rsidRDefault="00000000" w:rsidRPr="00000000" w14:paraId="00000043">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9º A previsão de prazo específico na análise concreta de que trata o inciso IX do caput não se confunde com as previsões gerais acerca de processamento de pedidos de licença, incluídos os prazos a que se refere o § 3º do art. 14 da Lei Complementar nº 140, de 8 de dezembro de 2011.</w:t>
      </w:r>
    </w:p>
    <w:p w:rsidR="00000000" w:rsidDel="00000000" w:rsidP="00000000" w:rsidRDefault="00000000" w:rsidRPr="00000000" w14:paraId="00000044">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10. O disposto no inciso XI do caput não se aplica às situações de acordo resultantes de ilicitude.</w:t>
      </w:r>
    </w:p>
    <w:p w:rsidR="00000000" w:rsidDel="00000000" w:rsidP="00000000" w:rsidRDefault="00000000" w:rsidRPr="00000000" w14:paraId="00000045">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11. Para os fins do inciso XII do caput, é ilegal delimitar prazo de validade em certidão emitida sobre fato imutável, incluindo sobre o óbito. </w:t>
      </w:r>
    </w:p>
    <w:p w:rsidR="00000000" w:rsidDel="00000000" w:rsidP="00000000" w:rsidRDefault="00000000" w:rsidRPr="00000000" w14:paraId="00000046">
      <w:pPr>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spacing w:after="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III</w:t>
      </w:r>
    </w:p>
    <w:p w:rsidR="00000000" w:rsidDel="00000000" w:rsidP="00000000" w:rsidRDefault="00000000" w:rsidRPr="00000000" w14:paraId="00000048">
      <w:pPr>
        <w:spacing w:after="36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DAS GARANTIAS DE LIVRE INICIATIVA</w:t>
      </w:r>
    </w:p>
    <w:p w:rsidR="00000000" w:rsidDel="00000000" w:rsidP="00000000" w:rsidRDefault="00000000" w:rsidRPr="00000000" w14:paraId="00000049">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4º É dever da administração pública e dos demais entidades que se vinculam a esta Lei, no exercício de regulamentação de norma pública pertencente à legislação sobre a qual esta Lei versa, exceto se em estrito cumprimento a previsão explícita em lei, evitar o abuso do poder regulatório de maneira a, indevidamente:</w:t>
      </w:r>
    </w:p>
    <w:p w:rsidR="00000000" w:rsidDel="00000000" w:rsidP="00000000" w:rsidRDefault="00000000" w:rsidRPr="00000000" w14:paraId="0000004A">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criar reserva de mercado ao favorecer, na regulação, grupo econômico, ou profissional, em prejuízo dos demais concorrentes;</w:t>
      </w:r>
    </w:p>
    <w:p w:rsidR="00000000" w:rsidDel="00000000" w:rsidP="00000000" w:rsidRDefault="00000000" w:rsidRPr="00000000" w14:paraId="0000004B">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redigir enunciados que impeçam a entrada de novos competidores nacionais ou estrangeiros no mercado;</w:t>
      </w:r>
    </w:p>
    <w:p w:rsidR="00000000" w:rsidDel="00000000" w:rsidP="00000000" w:rsidRDefault="00000000" w:rsidRPr="00000000" w14:paraId="0000004C">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exigir especificação técnica que não seja necessária para atingir o fim desejado;</w:t>
      </w:r>
    </w:p>
    <w:p w:rsidR="00000000" w:rsidDel="00000000" w:rsidP="00000000" w:rsidRDefault="00000000" w:rsidRPr="00000000" w14:paraId="0000004D">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 - redigir enunciados que impeçam ou retardem a inovação e a adoção de novas tecnologias, processos ou modelos de negócios, ressalvadas as situações consideradas em regulamento como de alto risco;</w:t>
      </w:r>
    </w:p>
    <w:p w:rsidR="00000000" w:rsidDel="00000000" w:rsidP="00000000" w:rsidRDefault="00000000" w:rsidRPr="00000000" w14:paraId="0000004E">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 - aumentar os custos de transação sem demonstração de benefícios;</w:t>
      </w:r>
    </w:p>
    <w:p w:rsidR="00000000" w:rsidDel="00000000" w:rsidP="00000000" w:rsidRDefault="00000000" w:rsidRPr="00000000" w14:paraId="0000004F">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 - criar demanda artificial ou compulsória de produto, serviço, ou atividade profissional, inclusive de uso de cartórios, registros ou cadastros;</w:t>
      </w:r>
    </w:p>
    <w:p w:rsidR="00000000" w:rsidDel="00000000" w:rsidP="00000000" w:rsidRDefault="00000000" w:rsidRPr="00000000" w14:paraId="00000050">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VII - introduzir limites à livre formação de sociedades empresariais ou de atividades econômicas; e</w:t>
      </w:r>
    </w:p>
    <w:p w:rsidR="00000000" w:rsidDel="00000000" w:rsidP="00000000" w:rsidRDefault="00000000" w:rsidRPr="00000000" w14:paraId="00000051">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VIII - restringir o uso e o exercício da publicidade e propaganda sobre um setor econômico, ressalvadas as hipóteses expressamente vedadas em lei.</w:t>
      </w:r>
    </w:p>
    <w:p w:rsidR="00000000" w:rsidDel="00000000" w:rsidP="00000000" w:rsidRDefault="00000000" w:rsidRPr="00000000" w14:paraId="00000052">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IX – exigir, sob o pretexto de inscrição tributária, requerimentos de outra natureza de maneira a mitigar os efeitos do inciso I do caput do art. 3º;</w:t>
      </w:r>
    </w:p>
    <w:p w:rsidR="00000000" w:rsidDel="00000000" w:rsidP="00000000" w:rsidRDefault="00000000" w:rsidRPr="00000000" w14:paraId="00000053">
      <w:pPr>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after="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IV</w:t>
      </w:r>
    </w:p>
    <w:p w:rsidR="00000000" w:rsidDel="00000000" w:rsidP="00000000" w:rsidRDefault="00000000" w:rsidRPr="00000000" w14:paraId="00000055">
      <w:pPr>
        <w:spacing w:after="36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 ANÁLISE DE IMPACTO REGULATÓRIO</w:t>
      </w:r>
    </w:p>
    <w:p w:rsidR="00000000" w:rsidDel="00000000" w:rsidP="00000000" w:rsidRDefault="00000000" w:rsidRPr="00000000" w14:paraId="00000056">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5º As propostas de edição e de alteração de atos normativos de interesse geral de agentes econômicos ou de usuários dos serviços prestados, editadas por órgão ou entidade da administração pública federal, incluídas as autarquias e as fundações públicas, serão precedidas da realização de análise de impacto regulatório, que conterá informações e dados sobre os possíveis efeitos do ato normativo para verificar a razoabilidade do seu impacto econômico.</w:t>
      </w:r>
    </w:p>
    <w:p w:rsidR="00000000" w:rsidDel="00000000" w:rsidP="00000000" w:rsidRDefault="00000000" w:rsidRPr="00000000" w14:paraId="00000057">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único. Regulamento disporá sobre a data de início da exigência de que trata o caput e sobre o conteúdo, a metodologia da análise de impacto regulatório, sobre os quesitos mínimos a serem objeto de exame, sobre as hipóteses em que será obrigatória sua realização e sobre as hipóteses em que poderá ser dispensada.</w:t>
      </w:r>
    </w:p>
    <w:p w:rsidR="00000000" w:rsidDel="00000000" w:rsidP="00000000" w:rsidRDefault="00000000" w:rsidRPr="00000000" w14:paraId="00000058">
      <w:pPr>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spacing w:after="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V</w:t>
      </w:r>
    </w:p>
    <w:p w:rsidR="00000000" w:rsidDel="00000000" w:rsidP="00000000" w:rsidRDefault="00000000" w:rsidRPr="00000000" w14:paraId="0000005A">
      <w:pPr>
        <w:spacing w:after="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DISPOSIÇÕES FINAIS</w:t>
      </w:r>
    </w:p>
    <w:p w:rsidR="00000000" w:rsidDel="00000000" w:rsidP="00000000" w:rsidRDefault="00000000" w:rsidRPr="00000000" w14:paraId="0000005B">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6º Fica extinto o Fundo Soberano do Brasil - FSB, fundo especial de natureza contábil e financeira, vinculado ao Ministério da Economia, criado pela Lei nº 11.887, de 24 de dezembro de 2008.</w:t>
      </w:r>
    </w:p>
    <w:p w:rsidR="00000000" w:rsidDel="00000000" w:rsidP="00000000" w:rsidRDefault="00000000" w:rsidRPr="00000000" w14:paraId="0000005C">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7º A Lei nº 10.406, de 10 de janeiro de 2002 – Código Civil, passa a vigor com as seguintes alterações:</w:t>
      </w:r>
    </w:p>
    <w:p w:rsidR="00000000" w:rsidDel="00000000" w:rsidP="00000000" w:rsidRDefault="00000000" w:rsidRPr="00000000" w14:paraId="0000005D">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49-A. A pessoa jurídica não se confunde com os seus sócios, associados, instituidores ou administradores.</w:t>
      </w:r>
    </w:p>
    <w:p w:rsidR="00000000" w:rsidDel="00000000" w:rsidP="00000000" w:rsidRDefault="00000000" w:rsidRPr="00000000" w14:paraId="0000005E">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único. A autonomia patrimonial das pessoas jurídicas é um instrumento lícito de alocação e segregação de riscos, estabelecido pela lei com a finalidade de estimular empreendimentos, para a geração de empregos, tributo, renda e inovação em  benefício de todos.” (NR)</w:t>
      </w:r>
    </w:p>
    <w:p w:rsidR="00000000" w:rsidDel="00000000" w:rsidP="00000000" w:rsidRDefault="00000000" w:rsidRPr="00000000" w14:paraId="0000005F">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50.  Em caso de abuso da personalidade jurídica, caracterizado pelo desvio de finalidade ou pela confusão patrimonial, pode o juiz, a requerimento da parte, ou do Ministério Público quando lhe couber intervir no processo, desconsiderá-la para que os efeitos de certas e determinadas relações de obrigações sejam estendidos aos bens particulares de administradores ou de sócios da pessoa jurídica beneficiados direta ou indiretamente pelo abuso.</w:t>
      </w:r>
    </w:p>
    <w:p w:rsidR="00000000" w:rsidDel="00000000" w:rsidP="00000000" w:rsidRDefault="00000000" w:rsidRPr="00000000" w14:paraId="00000061">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1º  Para fins do disposto neste artigo, desvio de finalidade é a utilização da pessoa jurídica com o propósito de lesar credores e para a prática de atos ilícitos de qualquer natureza.</w:t>
      </w:r>
    </w:p>
    <w:p w:rsidR="00000000" w:rsidDel="00000000" w:rsidP="00000000" w:rsidRDefault="00000000" w:rsidRPr="00000000" w14:paraId="00000062">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2º  Entende-se por confusão patrimonial a ausência de separação de fato entre os patrimônios, caracterizada por:</w:t>
      </w:r>
    </w:p>
    <w:p w:rsidR="00000000" w:rsidDel="00000000" w:rsidP="00000000" w:rsidRDefault="00000000" w:rsidRPr="00000000" w14:paraId="00000063">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cumprimento repetitivo pela sociedade de obrigações do sócio ou do administrador ou vice-versa;</w:t>
      </w:r>
    </w:p>
    <w:p w:rsidR="00000000" w:rsidDel="00000000" w:rsidP="00000000" w:rsidRDefault="00000000" w:rsidRPr="00000000" w14:paraId="00000064">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transferência de ativos ou de passivos sem efetivas contraprestações, exceto o de valor proporcionalmente insignificante; e</w:t>
      </w:r>
    </w:p>
    <w:p w:rsidR="00000000" w:rsidDel="00000000" w:rsidP="00000000" w:rsidRDefault="00000000" w:rsidRPr="00000000" w14:paraId="00000065">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outros atos de descumprimento da autonomia patrimonial.</w:t>
      </w:r>
    </w:p>
    <w:p w:rsidR="00000000" w:rsidDel="00000000" w:rsidP="00000000" w:rsidRDefault="00000000" w:rsidRPr="00000000" w14:paraId="00000066">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3º  O disposto no caput e nos § 1º e § 2º também se aplica à extensão das obrigações de sócios ou de administradores à pessoa jurídica.</w:t>
      </w:r>
    </w:p>
    <w:p w:rsidR="00000000" w:rsidDel="00000000" w:rsidP="00000000" w:rsidRDefault="00000000" w:rsidRPr="00000000" w14:paraId="00000067">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4º  A mera existência de grupo econômico sem a presença dos requisitos de que trata o caput não autoriza a desconsideração da personalidade da pessoa jurídica.</w:t>
      </w:r>
    </w:p>
    <w:p w:rsidR="00000000" w:rsidDel="00000000" w:rsidP="00000000" w:rsidRDefault="00000000" w:rsidRPr="00000000" w14:paraId="00000068">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5º  Não constitui desvio de finalidade a mera expansão ou a alteração da finalidade original da atividade econômica específica da pessoa jurídica.” (NR)</w:t>
      </w:r>
    </w:p>
    <w:p w:rsidR="00000000" w:rsidDel="00000000" w:rsidP="00000000" w:rsidRDefault="00000000" w:rsidRPr="00000000" w14:paraId="00000069">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113. .................................................................................................... </w:t>
      </w:r>
    </w:p>
    <w:p w:rsidR="00000000" w:rsidDel="00000000" w:rsidP="00000000" w:rsidRDefault="00000000" w:rsidRPr="00000000" w14:paraId="0000006B">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1º A interpretação do negócio jurídico deve lhe atribuir o sentido que: </w:t>
      </w:r>
    </w:p>
    <w:p w:rsidR="00000000" w:rsidDel="00000000" w:rsidP="00000000" w:rsidRDefault="00000000" w:rsidRPr="00000000" w14:paraId="0000006C">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for confirmado pelo comportamento das partes posterior à celebração do negócio; </w:t>
      </w:r>
    </w:p>
    <w:p w:rsidR="00000000" w:rsidDel="00000000" w:rsidP="00000000" w:rsidRDefault="00000000" w:rsidRPr="00000000" w14:paraId="0000006D">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corresponder aos usos, costumes e práticas do mercado relativas ao tipo de negócio; </w:t>
      </w:r>
    </w:p>
    <w:p w:rsidR="00000000" w:rsidDel="00000000" w:rsidP="00000000" w:rsidRDefault="00000000" w:rsidRPr="00000000" w14:paraId="0000006E">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corresponder à boa-fé; </w:t>
      </w:r>
    </w:p>
    <w:p w:rsidR="00000000" w:rsidDel="00000000" w:rsidP="00000000" w:rsidRDefault="00000000" w:rsidRPr="00000000" w14:paraId="0000006F">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 – for mais benéfico à parte que não redigiu o dispositivo, se identificável; e </w:t>
      </w:r>
    </w:p>
    <w:p w:rsidR="00000000" w:rsidDel="00000000" w:rsidP="00000000" w:rsidRDefault="00000000" w:rsidRPr="00000000" w14:paraId="00000070">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 – corresponder a qual seria a razoável negociação das partes sobre a questão discutida, inferida das demais disposições do negócio e da racionalidade econômica das partes consideradas as informações disponíveis no momento de sua celebração. </w:t>
      </w:r>
    </w:p>
    <w:p w:rsidR="00000000" w:rsidDel="00000000" w:rsidP="00000000" w:rsidRDefault="00000000" w:rsidRPr="00000000" w14:paraId="00000071">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2º As partes poderão livremente pactuar regras de interpretação, colmatação de lacunas e integração dos negócios jurídicos, diversas daquelas previstas em lei.” (NR) </w:t>
      </w:r>
    </w:p>
    <w:p w:rsidR="00000000" w:rsidDel="00000000" w:rsidP="00000000" w:rsidRDefault="00000000" w:rsidRPr="00000000" w14:paraId="00000072">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421. A liberdade contratual será exercida nos limites da função social do contrato .</w:t>
      </w:r>
    </w:p>
    <w:p w:rsidR="00000000" w:rsidDel="00000000" w:rsidP="00000000" w:rsidRDefault="00000000" w:rsidRPr="00000000" w14:paraId="00000074">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único. Nas relações contratuais privadas, prevalecerá o princípio da intervenção mínima e a excepcionalidade da revisão contratual.” (NR)</w:t>
      </w:r>
    </w:p>
    <w:p w:rsidR="00000000" w:rsidDel="00000000" w:rsidP="00000000" w:rsidRDefault="00000000" w:rsidRPr="00000000" w14:paraId="00000075">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421-A Os contratos civis e empresariais  presumem-se paritários e simétricos até a presença de elementos concretos que justifiquem o afastamento dessa presunção, ressalvados os regimes jurídicos previstos em leis especiais, garantido também que: </w:t>
      </w:r>
    </w:p>
    <w:p w:rsidR="00000000" w:rsidDel="00000000" w:rsidP="00000000" w:rsidRDefault="00000000" w:rsidRPr="00000000" w14:paraId="00000077">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é lícito às partes negociantes estabelecer parâmetros objetivos para a interpretação das cláusulas negociais e de seus pressupostos de revisão ou de resolução; </w:t>
      </w:r>
    </w:p>
    <w:p w:rsidR="00000000" w:rsidDel="00000000" w:rsidP="00000000" w:rsidRDefault="00000000" w:rsidRPr="00000000" w14:paraId="00000078">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deve ser respeitada e observada a alocação de riscos definida pelas partes; e</w:t>
      </w:r>
    </w:p>
    <w:p w:rsidR="00000000" w:rsidDel="00000000" w:rsidP="00000000" w:rsidRDefault="00000000" w:rsidRPr="00000000" w14:paraId="00000079">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a revisão contratual somente ocorrerá de maneira excepcional e limitada” (NR)</w:t>
      </w:r>
    </w:p>
    <w:p w:rsidR="00000000" w:rsidDel="00000000" w:rsidP="00000000" w:rsidRDefault="00000000" w:rsidRPr="00000000" w14:paraId="0000007A">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980-A. .................................................................................................</w:t>
      </w:r>
    </w:p>
    <w:p w:rsidR="00000000" w:rsidDel="00000000" w:rsidP="00000000" w:rsidRDefault="00000000" w:rsidRPr="00000000" w14:paraId="0000007C">
      <w:pPr>
        <w:spacing w:after="24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7º  Somente o patrimônio social da empresa responderá pelas dívidas da empresa individual de responsabilidade limitada, hipótese em que não se confundirá, em qualquer situação, com o patrimônio do titular que a constitui, ressalvados os casos de fraude.” (NR)</w:t>
      </w:r>
    </w:p>
    <w:p w:rsidR="00000000" w:rsidDel="00000000" w:rsidP="00000000" w:rsidRDefault="00000000" w:rsidRPr="00000000" w14:paraId="0000007D">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1.052. ................................................................................................</w:t>
      </w:r>
    </w:p>
    <w:p w:rsidR="00000000" w:rsidDel="00000000" w:rsidP="00000000" w:rsidRDefault="00000000" w:rsidRPr="00000000" w14:paraId="0000007F">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1º A sociedade limitada pode ser constituída por uma ou mais pessoas.</w:t>
      </w:r>
    </w:p>
    <w:p w:rsidR="00000000" w:rsidDel="00000000" w:rsidP="00000000" w:rsidRDefault="00000000" w:rsidRPr="00000000" w14:paraId="00000080">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2º Sendo unipessoal, aplicar-se-ão ao documento de constituição do sócio único, no que couber, as disposições sobre o contrato social.” (NR)</w:t>
      </w:r>
    </w:p>
    <w:p w:rsidR="00000000" w:rsidDel="00000000" w:rsidP="00000000" w:rsidRDefault="00000000" w:rsidRPr="00000000" w14:paraId="00000081">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spacing w:after="120" w:line="240" w:lineRule="auto"/>
        <w:ind w:left="708"/>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“LIVRO III</w:t>
      </w:r>
    </w:p>
    <w:p w:rsidR="00000000" w:rsidDel="00000000" w:rsidP="00000000" w:rsidRDefault="00000000" w:rsidRPr="00000000" w14:paraId="00000083">
      <w:pPr>
        <w:spacing w:after="120" w:line="240" w:lineRule="auto"/>
        <w:ind w:left="708"/>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 Direito das Coisas</w:t>
      </w:r>
    </w:p>
    <w:p w:rsidR="00000000" w:rsidDel="00000000" w:rsidP="00000000" w:rsidRDefault="00000000" w:rsidRPr="00000000" w14:paraId="00000084">
      <w:pPr>
        <w:spacing w:after="120" w:line="240" w:lineRule="auto"/>
        <w:ind w:left="708"/>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85">
      <w:pPr>
        <w:spacing w:after="120" w:line="240" w:lineRule="auto"/>
        <w:ind w:left="708"/>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IX</w:t>
      </w:r>
    </w:p>
    <w:p w:rsidR="00000000" w:rsidDel="00000000" w:rsidP="00000000" w:rsidRDefault="00000000" w:rsidRPr="00000000" w14:paraId="00000086">
      <w:pPr>
        <w:spacing w:after="120" w:line="240" w:lineRule="auto"/>
        <w:ind w:left="708"/>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 Propriedade Fiduciária</w:t>
      </w:r>
    </w:p>
    <w:p w:rsidR="00000000" w:rsidDel="00000000" w:rsidP="00000000" w:rsidRDefault="00000000" w:rsidRPr="00000000" w14:paraId="00000087">
      <w:pPr>
        <w:spacing w:after="120" w:line="240" w:lineRule="auto"/>
        <w:ind w:left="708"/>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88">
      <w:pPr>
        <w:spacing w:after="120" w:line="240" w:lineRule="auto"/>
        <w:ind w:left="708"/>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X</w:t>
      </w:r>
    </w:p>
    <w:p w:rsidR="00000000" w:rsidDel="00000000" w:rsidP="00000000" w:rsidRDefault="00000000" w:rsidRPr="00000000" w14:paraId="00000089">
      <w:pPr>
        <w:spacing w:after="120" w:line="240" w:lineRule="auto"/>
        <w:ind w:left="708"/>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 Fundo de Investimento</w:t>
      </w:r>
    </w:p>
    <w:p w:rsidR="00000000" w:rsidDel="00000000" w:rsidP="00000000" w:rsidRDefault="00000000" w:rsidRPr="00000000" w14:paraId="0000008A">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1.368-C. O fundo de investimento é uma comunhão de recursos, constituído sob a forma de condomínio de natureza especial, destinado à aplicação em ativos financeiros, bens e direitos de qualquer natureza.</w:t>
      </w:r>
    </w:p>
    <w:p w:rsidR="00000000" w:rsidDel="00000000" w:rsidP="00000000" w:rsidRDefault="00000000" w:rsidRPr="00000000" w14:paraId="0000008B">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1º Não se aplicam ao fundo de investimento as disposições constantes dos arts. 1.314 ao 1.358-A deste</w:t>
      </w:r>
    </w:p>
    <w:p w:rsidR="00000000" w:rsidDel="00000000" w:rsidP="00000000" w:rsidRDefault="00000000" w:rsidRPr="00000000" w14:paraId="0000008C">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Código.</w:t>
      </w:r>
    </w:p>
    <w:p w:rsidR="00000000" w:rsidDel="00000000" w:rsidP="00000000" w:rsidRDefault="00000000" w:rsidRPr="00000000" w14:paraId="0000008D">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2º Competirá à Comissão de Valores Mobiliários disciplinar o disposto no caput.</w:t>
      </w:r>
    </w:p>
    <w:p w:rsidR="00000000" w:rsidDel="00000000" w:rsidP="00000000" w:rsidRDefault="00000000" w:rsidRPr="00000000" w14:paraId="0000008E">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3º Não se aplica o disposto na Lei nº 8.078, de 11 de setembro de 1990, para a relação entre os cotistas e o fundo de investimento.</w:t>
      </w:r>
    </w:p>
    <w:p w:rsidR="00000000" w:rsidDel="00000000" w:rsidP="00000000" w:rsidRDefault="00000000" w:rsidRPr="00000000" w14:paraId="0000008F">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4º O registro dos regulamentos dos fundos de investimentos na Comissão de Valores Mobiliários é condição suficiente para garantir a sua publicidade e a oponibilidade de efeitos em relação a terceiros.</w:t>
      </w:r>
    </w:p>
    <w:p w:rsidR="00000000" w:rsidDel="00000000" w:rsidP="00000000" w:rsidRDefault="00000000" w:rsidRPr="00000000" w14:paraId="00000090">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1.368-D. O regulamento do fundo de investimento poderá, observado o disposto na regulamentação a que se refere o § 2º do art. 1.368-C, estabelecer:</w:t>
      </w:r>
    </w:p>
    <w:p w:rsidR="00000000" w:rsidDel="00000000" w:rsidP="00000000" w:rsidRDefault="00000000" w:rsidRPr="00000000" w14:paraId="00000091">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a limitação da responsabilidade de cada investidor ao valor de suas cotas;</w:t>
      </w:r>
    </w:p>
    <w:p w:rsidR="00000000" w:rsidDel="00000000" w:rsidP="00000000" w:rsidRDefault="00000000" w:rsidRPr="00000000" w14:paraId="00000092">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a limitação da responsabilidade, bem como parâmetros de sua aferição, dos prestadores de serviços do fundo de investimento, perante o condomínio e entre si, ao cumprimento dos deveres particulares de cada um, sem solidariedade; e</w:t>
      </w:r>
    </w:p>
    <w:p w:rsidR="00000000" w:rsidDel="00000000" w:rsidP="00000000" w:rsidRDefault="00000000" w:rsidRPr="00000000" w14:paraId="00000093">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classes de cotas com direitos e obrigações distintos, podendo constituir patrimônio segregado para cada classe.</w:t>
      </w:r>
    </w:p>
    <w:p w:rsidR="00000000" w:rsidDel="00000000" w:rsidP="00000000" w:rsidRDefault="00000000" w:rsidRPr="00000000" w14:paraId="00000094">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1º A adoção da responsabilidade limitada por fundo de investimento constituído sem a limitação de responsabilidade somente abrangerá fatos ocorridos após a respectiva mudança em seu regulamento.</w:t>
      </w:r>
    </w:p>
    <w:p w:rsidR="00000000" w:rsidDel="00000000" w:rsidP="00000000" w:rsidRDefault="00000000" w:rsidRPr="00000000" w14:paraId="00000095">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2º A avaliação de responsabilidade dos prestadores de serviço deverá levar sempre em consideração os riscos inerentes às aplicações nos mercados de atuação do fundo de investimento e a natureza de obrigação de meio de seus serviços.</w:t>
      </w:r>
    </w:p>
    <w:p w:rsidR="00000000" w:rsidDel="00000000" w:rsidP="00000000" w:rsidRDefault="00000000" w:rsidRPr="00000000" w14:paraId="00000096">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3º O patrimônio segregado a que se refere o inciso III só responderá por obrigações vinculadas à classe respectiva, nos termos do regulamento.</w:t>
      </w:r>
    </w:p>
    <w:p w:rsidR="00000000" w:rsidDel="00000000" w:rsidP="00000000" w:rsidRDefault="00000000" w:rsidRPr="00000000" w14:paraId="00000097">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1.368-E. Os fundos de investimento respondem diretamente pelas obrigações legais e contratuais por eles assumidas, não respondendo os prestadores de serviço por tais obrigações; respondem, porém, pelos prejuízos que causarem quando procederem com dolo ou má fé.</w:t>
      </w:r>
    </w:p>
    <w:p w:rsidR="00000000" w:rsidDel="00000000" w:rsidP="00000000" w:rsidRDefault="00000000" w:rsidRPr="00000000" w14:paraId="00000098">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1º Se o fundo de investimento com limitação de responsabilidade não possuir patrimônio suficiente para responder por suas dívidas, aplicam-se as regras de insolvência, previstas nos artigos 955 a 965 deste código.</w:t>
      </w:r>
    </w:p>
    <w:p w:rsidR="00000000" w:rsidDel="00000000" w:rsidP="00000000" w:rsidRDefault="00000000" w:rsidRPr="00000000" w14:paraId="00000099">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2º A insolvência pode ser requerida judicialmente por credores, por deliberação própria dos cotistas do fundo de investimento, nos termos de seu regulamento, ou pela Comissão de Valores Mobiliário.</w:t>
      </w:r>
    </w:p>
    <w:p w:rsidR="00000000" w:rsidDel="00000000" w:rsidP="00000000" w:rsidRDefault="00000000" w:rsidRPr="00000000" w14:paraId="0000009A">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1.368-F. O fundo de investimento constituído por lei específica e regulamentado pela Comissão de Valores Mobiliários deverá, no que couber, seguir as disposições deste Capítulo.” (NR)</w:t>
      </w:r>
    </w:p>
    <w:p w:rsidR="00000000" w:rsidDel="00000000" w:rsidP="00000000" w:rsidRDefault="00000000" w:rsidRPr="00000000" w14:paraId="0000009B">
      <w:pPr>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8º A Lei nº 6.404, de 15 de dezembro de 1976, passa a vigorar com as seguintes alterações:</w:t>
      </w:r>
    </w:p>
    <w:p w:rsidR="00000000" w:rsidDel="00000000" w:rsidP="00000000" w:rsidRDefault="00000000" w:rsidRPr="00000000" w14:paraId="0000009D">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85.  ...........................................................................................</w:t>
      </w:r>
    </w:p>
    <w:p w:rsidR="00000000" w:rsidDel="00000000" w:rsidP="00000000" w:rsidRDefault="00000000" w:rsidRPr="00000000" w14:paraId="0000009E">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1º  A subscrição poderá ser feita, nas condições previstas no prospecto, por carta à instituição, acompanhada das declarações a que se refere este artigo e do pagamento da entrada.</w:t>
      </w:r>
    </w:p>
    <w:p w:rsidR="00000000" w:rsidDel="00000000" w:rsidP="00000000" w:rsidRDefault="00000000" w:rsidRPr="00000000" w14:paraId="0000009F">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2º  Será dispensada a assinatura de lista ou de boletim a que se refere o caput na hipótese de oferta pública cuja liquidação ocorra por meio de sistema administrado por entidade administradora de mercados organizados de valores mobiliários.” (NR)</w:t>
      </w:r>
    </w:p>
    <w:p w:rsidR="00000000" w:rsidDel="00000000" w:rsidP="00000000" w:rsidRDefault="00000000" w:rsidRPr="00000000" w14:paraId="000000A0">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294-A. A Comissão de Valores Mobiliários, por meio de regulamento, poderá dispensar exigências previstas nesta Lei, para companhias que definir como de pequeno e médio porte, de forma a facilitar o acesso ao mercado de capitais." (NR)</w:t>
      </w:r>
    </w:p>
    <w:p w:rsidR="00000000" w:rsidDel="00000000" w:rsidP="00000000" w:rsidRDefault="00000000" w:rsidRPr="00000000" w14:paraId="000000A2">
      <w:pPr>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9º A Lei nº 11.598, de 2007, passa a vigorar com as seguintes alterações:</w:t>
      </w:r>
    </w:p>
    <w:p w:rsidR="00000000" w:rsidDel="00000000" w:rsidP="00000000" w:rsidRDefault="00000000" w:rsidRPr="00000000" w14:paraId="000000A4">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"Art.4º.........................................................................................................</w:t>
      </w:r>
    </w:p>
    <w:p w:rsidR="00000000" w:rsidDel="00000000" w:rsidP="00000000" w:rsidRDefault="00000000" w:rsidRPr="00000000" w14:paraId="000000A5">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5º Ato do Poder Executivo federal disporá sobre a classificação mínima de atividades de baixo risco, válida para todos os integrantes da Redesim, observada a Classificação Nacional de Atividade Econômica, hipótese em  que a  autodeclaração  de enquadramento será requerimento suficiente, até que seja apresentada prova em contrário.” (NR)</w:t>
      </w:r>
    </w:p>
    <w:p w:rsidR="00000000" w:rsidDel="00000000" w:rsidP="00000000" w:rsidRDefault="00000000" w:rsidRPr="00000000" w14:paraId="000000A6">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10.  A Lei nº 12.682, de 9 de julho de 2012, passa a vigorar com as seguintes alterações:</w:t>
      </w:r>
    </w:p>
    <w:p w:rsidR="00000000" w:rsidDel="00000000" w:rsidP="00000000" w:rsidRDefault="00000000" w:rsidRPr="00000000" w14:paraId="000000A8">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2º-A.  Fica autorizado o armazenamento, em meio eletrônico, óptico ou equivalente, de documentos públicos ou privados, compostos por dados ou por imagens, observado o disposto nesta Lei, nas das demais legislações específicas e no regulamento.</w:t>
      </w:r>
    </w:p>
    <w:p w:rsidR="00000000" w:rsidDel="00000000" w:rsidP="00000000" w:rsidRDefault="00000000" w:rsidRPr="00000000" w14:paraId="000000A9">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1º  Após a digitalização, constatada a integridade do documento digital nos termos estabelecidos no regulamento, o original poderá ser destruído, ressalvados os documentos de valor histórico, cuja preservação observará o disposto na legislação específica.</w:t>
      </w:r>
    </w:p>
    <w:p w:rsidR="00000000" w:rsidDel="00000000" w:rsidP="00000000" w:rsidRDefault="00000000" w:rsidRPr="00000000" w14:paraId="000000AA">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2º  O documento digital e a sua reprodução, em qualquer meio, realizada de acordo com o disposto nesta Lei e na legislação específica, terão o mesmo valor probatório do documento original, para todos os fins de direito, inclusive para atender ao poder fiscalizatório do Estado.</w:t>
      </w:r>
    </w:p>
    <w:p w:rsidR="00000000" w:rsidDel="00000000" w:rsidP="00000000" w:rsidRDefault="00000000" w:rsidRPr="00000000" w14:paraId="000000AB">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3º  Decorridos os respectivos prazos de decadência ou de prescrição, os documentos armazenados em meio eletrônico, óptico ou equivalente poderão ser eliminados.</w:t>
      </w:r>
    </w:p>
    <w:p w:rsidR="00000000" w:rsidDel="00000000" w:rsidP="00000000" w:rsidRDefault="00000000" w:rsidRPr="00000000" w14:paraId="000000AC">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4º  Os documentos digitalizados nos termos do disposto neste artigo terão o mesmo efeito jurídico conferido aos documentos microfilmados, nos termos do disposto na Lei nº 5.433, de 8 de maio de 1968, e regulamentação posterior.</w:t>
      </w:r>
    </w:p>
    <w:p w:rsidR="00000000" w:rsidDel="00000000" w:rsidP="00000000" w:rsidRDefault="00000000" w:rsidRPr="00000000" w14:paraId="000000AD">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5º  Ato do Secretário de Governo Digital da Secretaria Especial de Desburocratização, Gestão e Governo Digital do Ministério da Economia estabelecerá os documentos cuja reprodução conterá código de autenticação verificável.</w:t>
      </w:r>
    </w:p>
    <w:p w:rsidR="00000000" w:rsidDel="00000000" w:rsidP="00000000" w:rsidRDefault="00000000" w:rsidRPr="00000000" w14:paraId="000000AE">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§6º Ato do Conselho Monetário Nacional disporá sobre o cumprimento do disposto no § 1º, relativamente aos documentos relativos a operações e transações realizadas no sistema financeiro nacional.</w:t>
      </w:r>
    </w:p>
    <w:p w:rsidR="00000000" w:rsidDel="00000000" w:rsidP="00000000" w:rsidRDefault="00000000" w:rsidRPr="00000000" w14:paraId="000000AF">
      <w:pPr>
        <w:spacing w:after="480" w:line="240" w:lineRule="auto"/>
        <w:ind w:left="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7º É lícita a reprodução de documento digital, em papel ou qualquer outro meio físico, que contiver mecanismo de verificação de integridade e autenticidade, na maneira e técnica definida pelo mercado, cabendo ao particular o ônus de demonstrar integralmente a presença de tais requisitos.” (NR)</w:t>
      </w:r>
    </w:p>
    <w:p w:rsidR="00000000" w:rsidDel="00000000" w:rsidP="00000000" w:rsidRDefault="00000000" w:rsidRPr="00000000" w14:paraId="000000B0">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4º-A. Fica instituído o Documento Eletrônico de Transporte (DT-e), de emissão obrigatória para todos os modos de transporte de coisas em todo o território nacional, na forma da Lei nº 10.406, de 10 de janeiro de 2002, como instrumento único de contrato de transporte e de meio de conciliaçãDT-eo e liquidação do pagamento da contraprestação do serviço de transporte.</w:t>
      </w:r>
    </w:p>
    <w:p w:rsidR="00000000" w:rsidDel="00000000" w:rsidP="00000000" w:rsidRDefault="00000000" w:rsidRPr="00000000" w14:paraId="000000B1">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1º O DT-e será o documento único que caracteriza a operação de transporte, contendo todos os dados tributários, logísticos, comerciais, financeiros, sanitários e demais obrigações acessórias regulamentadas pelos órgãos e entidades intervenientes no transporte, nas esferas federal, estadual e municipal.</w:t>
      </w:r>
    </w:p>
    <w:p w:rsidR="00000000" w:rsidDel="00000000" w:rsidP="00000000" w:rsidRDefault="00000000" w:rsidRPr="00000000" w14:paraId="000000B2">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2º É obrigação do transportador a emissão prévia do DT-e à execução da operação de transporte, para cada contrato de transporte, operação de transporte de coisa própria ou de pessoas, nos termos do art. 736 da Lei nº 10.406, de 10 de janeiro de 2002.</w:t>
      </w:r>
    </w:p>
    <w:p w:rsidR="00000000" w:rsidDel="00000000" w:rsidP="00000000" w:rsidRDefault="00000000" w:rsidRPr="00000000" w14:paraId="000000B3">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3º Será emitido um único DT-e no caso de transporte realizado por Operador do Transporte Multimodal, nos termos do art. 5º da Lei nº 9.611, de 19 de fevereiro de 1998.</w:t>
      </w:r>
    </w:p>
    <w:p w:rsidR="00000000" w:rsidDel="00000000" w:rsidP="00000000" w:rsidRDefault="00000000" w:rsidRPr="00000000" w14:paraId="000000B4">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4º O DT-e somente poderá ser gerado por instituições integrantes do sistema financeiro nacional, instituidoras de arranjos de pagamento ou instituições de pagamento, nos termos da Lei nº 12.865, de 9 de outubro de 2013, denominadas instituições geradoras do DT-e.</w:t>
      </w:r>
    </w:p>
    <w:p w:rsidR="00000000" w:rsidDel="00000000" w:rsidP="00000000" w:rsidRDefault="00000000" w:rsidRPr="00000000" w14:paraId="000000B5">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5º As instituições geradoras do DT-e deverão disponibilizar e transmitir ao Ministério da Infraestrutura os dados e informações constantes do DT-e.</w:t>
      </w:r>
    </w:p>
    <w:p w:rsidR="00000000" w:rsidDel="00000000" w:rsidP="00000000" w:rsidRDefault="00000000" w:rsidRPr="00000000" w14:paraId="000000B6">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6º Compete ao Ministério da Infraestrutura regulamentar o DT-e e gerir os dados, informações e eventos nele registrados, bem como a coleta, processamento, armazenagem, integração e disponibilização aos demais órgãos e entidades intervenientes no transporte, nas esferas federal, estadual e municipal.</w:t>
      </w:r>
    </w:p>
    <w:p w:rsidR="00000000" w:rsidDel="00000000" w:rsidP="00000000" w:rsidRDefault="00000000" w:rsidRPr="00000000" w14:paraId="000000B7">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7º O Ministério da Infraestrutura poderá executar direta ou indiretamente as competências de que trata o § 6º,  observadas as disposições da Lei nº 8.987, de 13 de fevereiro de 1995, ou delegá-las às suas entidades vinculadas.</w:t>
      </w:r>
    </w:p>
    <w:p w:rsidR="00000000" w:rsidDel="00000000" w:rsidP="00000000" w:rsidRDefault="00000000" w:rsidRPr="00000000" w14:paraId="000000B8">
      <w:pPr>
        <w:spacing w:after="360" w:line="240" w:lineRule="auto"/>
        <w:ind w:left="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8º O DT-e será implantado em todo território nacional na forma e no cronograma a serem publicados pelo Ministério da Infraestrutura, a partir de 1º de janeiro de 2020, quando ficará revogado o artigo 5º-A da Lei nº 11.442, de 5 de janeiro de 2007.” (AC)</w:t>
      </w:r>
    </w:p>
    <w:p w:rsidR="00000000" w:rsidDel="00000000" w:rsidP="00000000" w:rsidRDefault="00000000" w:rsidRPr="00000000" w14:paraId="000000B9">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11.  O Decreto-Lei nº 9.760, de 5 de setembro de 1946, passa a vigorar com as seguintes alterações:</w:t>
      </w:r>
    </w:p>
    <w:p w:rsidR="00000000" w:rsidDel="00000000" w:rsidP="00000000" w:rsidRDefault="00000000" w:rsidRPr="00000000" w14:paraId="000000BA">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14.  Da decisão proferida pelo Secretário de Coordenação e Governança do Patrimônio da União da Secretaria Especial de Desestatização e Desinvestimento do Ministério da Economia será dado conhecimento aos recorrentes que, no prazo de vinte dias, contado da data de sua ciência, poderão interpor recurso, não dotado de efeito suspensivo, dirigido ao superior hierárquico, em última instância.” (NR)</w:t>
      </w:r>
    </w:p>
    <w:p w:rsidR="00000000" w:rsidDel="00000000" w:rsidP="00000000" w:rsidRDefault="00000000" w:rsidRPr="00000000" w14:paraId="000000BB">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100. .....................................................................................................</w:t>
      </w:r>
    </w:p>
    <w:p w:rsidR="00000000" w:rsidDel="00000000" w:rsidP="00000000" w:rsidRDefault="00000000" w:rsidRPr="00000000" w14:paraId="000000BD">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BE">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5º  Considerada improcedente a impugnação, a autoridade submeterá o recurso à autoridade superior, nos termos estabelecidos em regulamento.(NR)</w:t>
      </w:r>
    </w:p>
    <w:p w:rsidR="00000000" w:rsidDel="00000000" w:rsidP="00000000" w:rsidRDefault="00000000" w:rsidRPr="00000000" w14:paraId="000000BF">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216.  O Ministro de Estado da Economia, diretamente ou por ato do Secretário Especial de Desestatização e Desinvestimento do Ministério da Economia, ouvido previamente o Secretário de Coordenação e Governança do Patrimônio da União, editará os atos necessários à execução do disposto neste Decreto-Lei.” (NR)</w:t>
      </w:r>
    </w:p>
    <w:p w:rsidR="00000000" w:rsidDel="00000000" w:rsidP="00000000" w:rsidRDefault="00000000" w:rsidRPr="00000000" w14:paraId="000000C1">
      <w:pPr>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12.  A Lei nº 6.015, de 31 de dezembro de 1973, passa a vigorar com as seguintes alterações:</w:t>
      </w:r>
    </w:p>
    <w:p w:rsidR="00000000" w:rsidDel="00000000" w:rsidP="00000000" w:rsidRDefault="00000000" w:rsidRPr="00000000" w14:paraId="000000C3">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1º ......................................................................................................</w:t>
      </w:r>
    </w:p>
    <w:p w:rsidR="00000000" w:rsidDel="00000000" w:rsidP="00000000" w:rsidRDefault="00000000" w:rsidRPr="00000000" w14:paraId="000000C4">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C5">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3º  Os registros poderão ser escriturados, publicitados e conservados em meio eletrônico, obedecidos os padrões tecnológicos estabelecidos em regulamento.” (NR)</w:t>
      </w:r>
    </w:p>
    <w:p w:rsidR="00000000" w:rsidDel="00000000" w:rsidP="00000000" w:rsidRDefault="00000000" w:rsidRPr="00000000" w14:paraId="000000C6">
      <w:pPr>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13.  A Lei nº 10.522, de 19 de julho de 2002, passam a vigorar com as seguintes alterações:</w:t>
      </w:r>
    </w:p>
    <w:p w:rsidR="00000000" w:rsidDel="00000000" w:rsidP="00000000" w:rsidRDefault="00000000" w:rsidRPr="00000000" w14:paraId="000000C8">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18-A.  Comitê formado por integrantes do Conselho Administrativo de Recursos Fiscais, da Secretaria Especial da Receita Federal do Brasil do Ministério da Economia e da Procuradoria-Geral da Fazenda Nacional editará enunciados de súmula da administração tributária federal, extraídas de decisões judiciais ou administrativas, observado o disposto em ato do Ministro de Estado da Economia, que deverão ser observados nos atos administrativos, normativos e decisórios praticados pelos referidos órgãos.” (NR)</w:t>
      </w:r>
    </w:p>
    <w:p w:rsidR="00000000" w:rsidDel="00000000" w:rsidP="00000000" w:rsidRDefault="00000000" w:rsidRPr="00000000" w14:paraId="000000C9">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19.  Fica a Procuradoria-Geral da Fazenda Nacional dispensada de contestar, de oferecer contrarrazões e de interpor recursos, e fica autorizada a desistir de recursos já interpostos, desde que inexista outro fundamento relevante, na hipótese em que a ação ou a decisão judicial ou administrativa versar sobre:</w:t>
      </w:r>
    </w:p>
    <w:p w:rsidR="00000000" w:rsidDel="00000000" w:rsidP="00000000" w:rsidRDefault="00000000" w:rsidRPr="00000000" w14:paraId="000000CA">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temas que sejam objeto de parecer, vigente e aprovado, pelo Procurador-Geral da Fazenda Nacional, que conclua no mesmo sentido do pleito do particular;</w:t>
      </w:r>
    </w:p>
    <w:p w:rsidR="00000000" w:rsidDel="00000000" w:rsidP="00000000" w:rsidRDefault="00000000" w:rsidRPr="00000000" w14:paraId="000000CB">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 - temas sobre os quais exista súmula ou parecer do Advogado-Geral da União que conclua no mesmo sentido do pleito do particular;</w:t>
      </w:r>
    </w:p>
    <w:p w:rsidR="00000000" w:rsidDel="00000000" w:rsidP="00000000" w:rsidRDefault="00000000" w:rsidRPr="00000000" w14:paraId="000000CC">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 - temas fundados em dispositivo legal que tenha sido declarado inconstitucional pelo Supremo Tribunal Federal em sede de controle difuso e tenha tido sua execução suspensa por Resolução do Senado Federal ou tema sobre o qual exista enunciado de súmula vinculante ou que tenha sido definido pelo Supremo Tribunal Federal em sentido desfavorável à Fazenda Nacional em sede de controle concentrado de constitucionalidade;</w:t>
      </w:r>
    </w:p>
    <w:p w:rsidR="00000000" w:rsidDel="00000000" w:rsidP="00000000" w:rsidRDefault="00000000" w:rsidRPr="00000000" w14:paraId="000000CD">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 - temas decididos pelo Supremo Tribunal Federal, em matéria constitucional, ou pelo Superior Tribunal de Justiça, pelo Tribunal Superior do Trabalho, pelo Tribunal Superior Eleitoral ou pela Turma Nacional de Uniformização de Jurisprudência, no âmbito de suas competências:</w:t>
      </w:r>
    </w:p>
    <w:p w:rsidR="00000000" w:rsidDel="00000000" w:rsidP="00000000" w:rsidRDefault="00000000" w:rsidRPr="00000000" w14:paraId="000000CE">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definidos em sede de repercussão geral ou recurso repetitivo; ou,</w:t>
      </w:r>
    </w:p>
    <w:p w:rsidR="00000000" w:rsidDel="00000000" w:rsidP="00000000" w:rsidRDefault="00000000" w:rsidRPr="00000000" w14:paraId="000000CF">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quando não houver viabilidade de reversão da tese firmada em sentido desfavorável à Fazenda Nacional, conforme critérios definidos em ato do Procurador-Geral da Fazenda Nacional; e,</w:t>
      </w:r>
    </w:p>
    <w:p w:rsidR="00000000" w:rsidDel="00000000" w:rsidP="00000000" w:rsidRDefault="00000000" w:rsidRPr="00000000" w14:paraId="000000D0">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VII - temas que sejam objeto de súmula da administração tributária federal de que trata o art. 18-A.</w:t>
      </w:r>
    </w:p>
    <w:p w:rsidR="00000000" w:rsidDel="00000000" w:rsidP="00000000" w:rsidRDefault="00000000" w:rsidRPr="00000000" w14:paraId="000000D1">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D2">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3º  O parecer da Procuradoria-Geral da Fazenda Nacional que examina a juridicidade de proposições normativas não se enquadra no disposto no inciso II do caput.</w:t>
      </w:r>
    </w:p>
    <w:p w:rsidR="00000000" w:rsidDel="00000000" w:rsidP="00000000" w:rsidRDefault="00000000" w:rsidRPr="00000000" w14:paraId="000000D3">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4º  A dispensa de que tratam os incisos V e VI do caput poderá ser estendida a tema não abrangido pelo julgado, quando a ele forem aplicáveis os fundamentos determinantes extraídos do julgamento paradigma ou da jurisprudência consolidada, desde que inexista outro fundamento relevante que justifique a impugnação em juízo.</w:t>
      </w:r>
    </w:p>
    <w:p w:rsidR="00000000" w:rsidDel="00000000" w:rsidP="00000000" w:rsidRDefault="00000000" w:rsidRPr="00000000" w14:paraId="000000D4">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5º  O disposto neste artigo estende-se, no que couber, aos demais meios de impugnação às decisões judiciais.</w:t>
      </w:r>
    </w:p>
    <w:p w:rsidR="00000000" w:rsidDel="00000000" w:rsidP="00000000" w:rsidRDefault="00000000" w:rsidRPr="00000000" w14:paraId="000000D5">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D6">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7º  O disposto neste artigo aplica-se a todas as causas em que as unidades da Procuradoria-Geral da Fazenda Nacional devam atuar na qualidade de representante judicial ou de autoridade coatora.</w:t>
      </w:r>
    </w:p>
    <w:p w:rsidR="00000000" w:rsidDel="00000000" w:rsidP="00000000" w:rsidRDefault="00000000" w:rsidRPr="00000000" w14:paraId="000000D7">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8º Os órgãos do Poder Judiciário e as unidades da Procuradoria-Geral da Fazenda Nacional poderão, de comum acordo, realizar mutirões para análise do enquadramento de processos ou de recursos nas hipóteses previstas neste artigo, celebrando negócios processuais com fundamento no disposto no art. 190 da Lei nº 13.105, de 16 de março de 2015 - Código de Processo Civil.</w:t>
      </w:r>
    </w:p>
    <w:p w:rsidR="00000000" w:rsidDel="00000000" w:rsidP="00000000" w:rsidRDefault="00000000" w:rsidRPr="00000000" w14:paraId="000000D8">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9º Sem prejuízo do disposto no § 8º, a Procuradoria Geral da Fazenda Nacional regulamentará a celebração de negócios jurídicos processuais em seu âmbito de atuação, inclusive na cobrança administrativa ou judicial da dívida ativa da União ” (NR) </w:t>
      </w:r>
    </w:p>
    <w:p w:rsidR="00000000" w:rsidDel="00000000" w:rsidP="00000000" w:rsidRDefault="00000000" w:rsidRPr="00000000" w14:paraId="000000D9">
      <w:pPr>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19-A.  Os Auditores-Fiscais da Secretaria Especial da Receita Federal do Brasil não constituirão os créditos tributários relativos aos temas de que trata o art. 19, observado:</w:t>
      </w:r>
    </w:p>
    <w:p w:rsidR="00000000" w:rsidDel="00000000" w:rsidP="00000000" w:rsidRDefault="00000000" w:rsidRPr="00000000" w14:paraId="000000DB">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o disposto no parecer a que se refere no inciso II do caput do art. 19, que será aprovado na forma do disposto no art. 42 da Lei Complementar nº 73, de 10 de fevereiro de 1993, ou terá concordância com a sua aplicação da Secretaria Especial da Receita Federal do Brasil do Ministério da Economia;</w:t>
      </w:r>
    </w:p>
    <w:p w:rsidR="00000000" w:rsidDel="00000000" w:rsidP="00000000" w:rsidRDefault="00000000" w:rsidRPr="00000000" w14:paraId="000000DC">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II - o parecer a que se refere o inciso IV do caput do art. 19, que será aprovado na forma do disposto no art. 40 da Lei Complementar nº 73, de 1993, ou, quando não aprovado por despacho do Presidente da República, terá concordância com a sua aplicação do Ministro de Estado da Economia; ou, </w:t>
      </w:r>
    </w:p>
    <w:p w:rsidR="00000000" w:rsidDel="00000000" w:rsidP="00000000" w:rsidRDefault="00000000" w:rsidRPr="00000000" w14:paraId="000000DD">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nas hipóteses de que tratam os incisos VI do caput do art. 19 e o § 4º do art. 19, a Procuradoria-Geral da Fazenda Nacional deverá se manifestar sobre as matérias abrangidas por tais dispositivos.</w:t>
      </w:r>
    </w:p>
    <w:p w:rsidR="00000000" w:rsidDel="00000000" w:rsidP="00000000" w:rsidRDefault="00000000" w:rsidRPr="00000000" w14:paraId="000000DE">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§1º  Os Auditores-Fiscais da Secretaria Especial da Receita Federal do Brasil do Ministério da Economia adotarão, em suas decisões, o entendimento a que estiverem vinculados, inclusive para fins de revisão de ofício do lançamento e de repetição de indébito administrativa.</w:t>
      </w:r>
    </w:p>
    <w:p w:rsidR="00000000" w:rsidDel="00000000" w:rsidP="00000000" w:rsidRDefault="00000000" w:rsidRPr="00000000" w14:paraId="000000DF">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§2º  O disposto neste artigo aplica-se, no que couber, aos responsáveis pela retenção de tributos e, ao emitirem laudos periciais para atestar a existência de condições que gerem isenção de tributos, aos serviços médicos oficiais” (NR) </w:t>
      </w:r>
    </w:p>
    <w:p w:rsidR="00000000" w:rsidDel="00000000" w:rsidP="00000000" w:rsidRDefault="00000000" w:rsidRPr="00000000" w14:paraId="000000E0">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19-B.  Os demais órgãos da administração pública que administrem créditos tributários e não tributários passíveis de inscrição e de cobrança pela Procuradoria-Geral da Fazenda Nacional encontram-se dispensados de constituir e de promover a cobrança com fundamento nas hipóteses de dispensa de que trata o art. 19.</w:t>
      </w:r>
    </w:p>
    <w:p w:rsidR="00000000" w:rsidDel="00000000" w:rsidP="00000000" w:rsidRDefault="00000000" w:rsidRPr="00000000" w14:paraId="000000E2">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único.  A aplicação do disposto no caput observará, no que couber, as disposições do art. 19-A.” (NR)</w:t>
      </w:r>
    </w:p>
    <w:p w:rsidR="00000000" w:rsidDel="00000000" w:rsidP="00000000" w:rsidRDefault="00000000" w:rsidRPr="00000000" w14:paraId="000000E3">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4">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19-C.  A Procuradoria-Geral da Fazenda Nacional poderá dispensar a prática de atos processuais, inclusive a desistência de recursos interpostos, quando o benefício patrimonial almejado com o ato não atender aos critérios de racionalidade, de economicidade e de eficiência.</w:t>
      </w:r>
    </w:p>
    <w:p w:rsidR="00000000" w:rsidDel="00000000" w:rsidP="00000000" w:rsidRDefault="00000000" w:rsidRPr="00000000" w14:paraId="000000E5">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1º  O disposto no caput inclui o estabelecimento de parâmetros de valor para a dispensa da prática de atos processuais.</w:t>
      </w:r>
    </w:p>
    <w:p w:rsidR="00000000" w:rsidDel="00000000" w:rsidP="00000000" w:rsidRDefault="00000000" w:rsidRPr="00000000" w14:paraId="000000E6">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2º  A aplicação do disposto neste artigo não implicará o reconhecimento da procedência do pedido formulado pelo autor.</w:t>
      </w:r>
    </w:p>
    <w:p w:rsidR="00000000" w:rsidDel="00000000" w:rsidP="00000000" w:rsidRDefault="00000000" w:rsidRPr="00000000" w14:paraId="000000E7">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3º  O disposto neste artigo aplica-se, inclusive, na atuação da Procuradoria-Geral da Fazenda Nacional no âmbito do contencioso administrativo fiscal.” (NR)</w:t>
      </w:r>
    </w:p>
    <w:p w:rsidR="00000000" w:rsidDel="00000000" w:rsidP="00000000" w:rsidRDefault="00000000" w:rsidRPr="00000000" w14:paraId="000000E8">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9">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19-D.  À Procuradoria-Geral da União, à Procuradoria-Geral Federal e à Procuradoria-Geral do Banco Central aplica-se, no que couber, o disposto nos art. 19, art. 19-B e art. 19-C, sem prejuízo do disposto na Lei nº 9.469, de 10 de julho de 1997.</w:t>
      </w:r>
    </w:p>
    <w:p w:rsidR="00000000" w:rsidDel="00000000" w:rsidP="00000000" w:rsidRDefault="00000000" w:rsidRPr="00000000" w14:paraId="000000EA">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1º Aos órgãos da administração pública federal direta, representados pela Procuradoria-Geral da União, e às autarquias e fundações públicas, representadas pela Procuradoria-Geral Federal ou pela Procuradoria-Geral do Banco Central, aplica-se, no que couber, o disposto no art. 19-B.</w:t>
      </w:r>
    </w:p>
    <w:p w:rsidR="00000000" w:rsidDel="00000000" w:rsidP="00000000" w:rsidRDefault="00000000" w:rsidRPr="00000000" w14:paraId="000000EB">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2º Ato do Advogado-Geral da União disciplinará o disposto neste artigo.</w:t>
      </w:r>
    </w:p>
    <w:p w:rsidR="00000000" w:rsidDel="00000000" w:rsidP="00000000" w:rsidRDefault="00000000" w:rsidRPr="00000000" w14:paraId="000000EC">
      <w:pPr>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D">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20.  Serão arquivados, sem baixa na distribuição, por meio de requerimento do Procurador da Fazenda Nacional, os autos das execuções fiscais de débitos inscritos em Dívida Ativa da União pela Procuradoria-Geral da Fazenda Nacional ou por ela cobrados, de valor consolidado igual ou inferior àquele estabelecido em ato do Procurador-Geral da Fazenda Nacional.</w:t>
      </w:r>
    </w:p>
    <w:p w:rsidR="00000000" w:rsidDel="00000000" w:rsidP="00000000" w:rsidRDefault="00000000" w:rsidRPr="00000000" w14:paraId="000000EE">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(NR)</w:t>
      </w:r>
    </w:p>
    <w:p w:rsidR="00000000" w:rsidDel="00000000" w:rsidP="00000000" w:rsidRDefault="00000000" w:rsidRPr="00000000" w14:paraId="000000EF">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F0">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20-F. Para os fins do art. 199 da Lei nº 5.172, de 25 de outubro de 1966, a administração tributária, no âmbito Federal, compartilhará, de forma recíproca, integral e irrestrita, as informações sobre a situação econômica ou financeira do sujeito passivo ou de terceiros e sobre a natureza e o estado de seus negócios ou atividades, mediante acesso direto online, compartilhamento ou carregamento seguro de bases tecnológicas, de forma a garantir a consulta plena às suas bases de dados, incluídas as informações:</w:t>
      </w:r>
    </w:p>
    <w:p w:rsidR="00000000" w:rsidDel="00000000" w:rsidP="00000000" w:rsidRDefault="00000000" w:rsidRPr="00000000" w14:paraId="000000F1">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relativas a rendas, rendimentos, patrimônio, débitos, créditos, dívidas e movimentação financeira ou patrimonial; e, </w:t>
      </w:r>
    </w:p>
    <w:p w:rsidR="00000000" w:rsidDel="00000000" w:rsidP="00000000" w:rsidRDefault="00000000" w:rsidRPr="00000000" w14:paraId="000000F2">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que revelem negócios, contratos, relacionamentos comerciais, fornecedores, clientes e volumes ou valores de compra e venda; </w:t>
      </w:r>
    </w:p>
    <w:p w:rsidR="00000000" w:rsidDel="00000000" w:rsidP="00000000" w:rsidRDefault="00000000" w:rsidRPr="00000000" w14:paraId="000000F3">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1º Os dados objeto de transferência do sigilo serão utilizados, exclusivamente, nas atividades que decorram do exercício das atribuições legais da administração tributária, para fins de escrituração de obrigações fiscais, previdenciárias ou trabalhistas e arrecadação, fiscalização e cobrança de tributos, inclusive aduaneiros.</w:t>
      </w:r>
    </w:p>
    <w:p w:rsidR="00000000" w:rsidDel="00000000" w:rsidP="00000000" w:rsidRDefault="00000000" w:rsidRPr="00000000" w14:paraId="000000F4">
      <w:pPr>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2º A transferência do sigilo exime de responsabilidade o concedente, cabendo ao receptor zelar pela preservação, rastreabilidade dos dados, vedando acesso por terceiros que não se enquadrem no disposto no caput.</w:t>
      </w:r>
    </w:p>
    <w:p w:rsidR="00000000" w:rsidDel="00000000" w:rsidP="00000000" w:rsidRDefault="00000000" w:rsidRPr="00000000" w14:paraId="000000F5">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3º O disposto nesse art. aplica-se à atuação Procuradoria-Geral Federal na cobrança extrajudicial e judicial de crédito inscrito em dívida ativa das autarquias e fundações públicas federais de natureza fiscal e dos créditos de que trata o inc. II do § 3º do art. 16 da Lei n º 11.457, de 16 de março de 2007.” (NR)</w:t>
      </w:r>
    </w:p>
    <w:p w:rsidR="00000000" w:rsidDel="00000000" w:rsidP="00000000" w:rsidRDefault="00000000" w:rsidRPr="00000000" w14:paraId="000000F6">
      <w:pPr>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14. A Lei nº 8.934, de 18 de novembro de 1994, passa a vigorar com as seguintes alterações: </w:t>
      </w:r>
    </w:p>
    <w:p w:rsidR="00000000" w:rsidDel="00000000" w:rsidP="00000000" w:rsidRDefault="00000000" w:rsidRPr="00000000" w14:paraId="000000F8">
      <w:pPr>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4º O Departamento Nacional de Registro  Empresarial e Integração (DREI) da Secretaria de Governo Digital da Secretaria Especial de Desburocratização, Gestão e Governo Digital do Ministério da Economia tem por finalidade: </w:t>
      </w:r>
    </w:p>
    <w:p w:rsidR="00000000" w:rsidDel="00000000" w:rsidP="00000000" w:rsidRDefault="00000000" w:rsidRPr="00000000" w14:paraId="000000FA">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B">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único. O cadastro nacional, a que se refere o inciso IX do caput deste artigo, será mantido com as informações originárias do cadastro estadual de empresas, sendo vedada a exigência de preenchimento de formulário pelo empresário ou o fornecimento de novos dados ou informações, bem como a cobrança de preço pela inclusão das informações no cadastro nacional.” (NR) </w:t>
      </w:r>
    </w:p>
    <w:p w:rsidR="00000000" w:rsidDel="00000000" w:rsidP="00000000" w:rsidRDefault="00000000" w:rsidRPr="00000000" w14:paraId="000000FC">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D">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31. Os atos decisórios serão publicados em sítio da rede mundial de computadores da junta comercial do respectivo ente federativo.” (NR) </w:t>
      </w:r>
    </w:p>
    <w:p w:rsidR="00000000" w:rsidDel="00000000" w:rsidP="00000000" w:rsidRDefault="00000000" w:rsidRPr="00000000" w14:paraId="000000FE">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32. .................................................................................................... </w:t>
      </w:r>
    </w:p>
    <w:p w:rsidR="00000000" w:rsidDel="00000000" w:rsidP="00000000" w:rsidRDefault="00000000" w:rsidRPr="00000000" w14:paraId="00000100">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01">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1º Os atos, documentos e declarações que contenham informações meramente cadastrais serão levados automaticamente a registro se puderem ser obtidos de outras bases de dados disponíveis em órgãos públicos. </w:t>
      </w:r>
    </w:p>
    <w:p w:rsidR="00000000" w:rsidDel="00000000" w:rsidP="00000000" w:rsidRDefault="00000000" w:rsidRPr="00000000" w14:paraId="00000102">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2º Ato do Departamento Nacional de Registro Empresarial e Integração (DREI) definirá os atos, documentos e declarações que contenham informações meramente cadastrais.” (NR) </w:t>
      </w:r>
    </w:p>
    <w:p w:rsidR="00000000" w:rsidDel="00000000" w:rsidP="00000000" w:rsidRDefault="00000000" w:rsidRPr="00000000" w14:paraId="00000103">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4">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35. Não podem ser arquivados: </w:t>
      </w:r>
    </w:p>
    <w:p w:rsidR="00000000" w:rsidDel="00000000" w:rsidP="00000000" w:rsidRDefault="00000000" w:rsidRPr="00000000" w14:paraId="00000105">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único. O registro dos atos constitutivos, de suas alterações e extinções, ocorrerá independentemente de autorização governamental prévia, sendo os órgãos públicos informados, pela Rede Nacional para a Simplificação do Registro e da Legalização de Empresas Negócios – REDESIM, sobre os registros sobre os quais manifestarem interesse.” (NR) </w:t>
      </w:r>
    </w:p>
    <w:p w:rsidR="00000000" w:rsidDel="00000000" w:rsidP="00000000" w:rsidRDefault="00000000" w:rsidRPr="00000000" w14:paraId="00000106">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7">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41. ....................................................................... </w:t>
      </w:r>
    </w:p>
    <w:p w:rsidR="00000000" w:rsidDel="00000000" w:rsidP="00000000" w:rsidRDefault="00000000" w:rsidRPr="00000000" w14:paraId="00000108">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09">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o arquivamento: </w:t>
      </w:r>
    </w:p>
    <w:p w:rsidR="00000000" w:rsidDel="00000000" w:rsidP="00000000" w:rsidRDefault="00000000" w:rsidRPr="00000000" w14:paraId="0000010A">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dos atos de constituição de sociedades anônimas ^; </w:t>
      </w:r>
    </w:p>
    <w:p w:rsidR="00000000" w:rsidDel="00000000" w:rsidP="00000000" w:rsidRDefault="00000000" w:rsidRPr="00000000" w14:paraId="0000010B">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 </w:t>
      </w:r>
    </w:p>
    <w:p w:rsidR="00000000" w:rsidDel="00000000" w:rsidP="00000000" w:rsidRDefault="00000000" w:rsidRPr="00000000" w14:paraId="0000010C">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 </w:t>
      </w:r>
    </w:p>
    <w:p w:rsidR="00000000" w:rsidDel="00000000" w:rsidP="00000000" w:rsidRDefault="00000000" w:rsidRPr="00000000" w14:paraId="0000010D">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w:t>
      </w:r>
    </w:p>
    <w:p w:rsidR="00000000" w:rsidDel="00000000" w:rsidP="00000000" w:rsidRDefault="00000000" w:rsidRPr="00000000" w14:paraId="0000010E">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único. Os pedidos de arquivamento de que trata o inciso I do caput deste artigo serão decididos no prazo de cinco dias úteis, contado da data de seu recebimento, sob pena de os atos serem considerados arquivados, mediante provocação dos interessados, sem prejuízo do exame das formalidades legais pela procuradoria.” (NR) </w:t>
      </w:r>
    </w:p>
    <w:p w:rsidR="00000000" w:rsidDel="00000000" w:rsidP="00000000" w:rsidRDefault="00000000" w:rsidRPr="00000000" w14:paraId="0000010F">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0">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42. ........................................................................ </w:t>
      </w:r>
    </w:p>
    <w:p w:rsidR="00000000" w:rsidDel="00000000" w:rsidP="00000000" w:rsidRDefault="00000000" w:rsidRPr="00000000" w14:paraId="00000112">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1º Os vogais e servidores habilitados a proferir decisões singulares serão designados pelo presidente da junta comercial. </w:t>
      </w:r>
    </w:p>
    <w:p w:rsidR="00000000" w:rsidDel="00000000" w:rsidP="00000000" w:rsidRDefault="00000000" w:rsidRPr="00000000" w14:paraId="00000113">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2º Os pedidos de arquivamento não previstos no inciso I do caput do art. 41 desta Lei serão decididos no prazo de dois dias úteis, contado da data de seu recebimento, sob pena de os atos serem considerados arquivados, mediante provocação dos interessados, sem prejuízo do exame das formalidades legais pela procuradoria </w:t>
      </w:r>
    </w:p>
    <w:p w:rsidR="00000000" w:rsidDel="00000000" w:rsidP="00000000" w:rsidRDefault="00000000" w:rsidRPr="00000000" w14:paraId="00000114">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3º O arquivamento dos atos constitutivos e de alterações não previstos no inciso I do caput do art. 41 desta Lei terá o registro deferido automaticamente caso cumpridos os requisitos de: </w:t>
      </w:r>
    </w:p>
    <w:p w:rsidR="00000000" w:rsidDel="00000000" w:rsidP="00000000" w:rsidRDefault="00000000" w:rsidRPr="00000000" w14:paraId="00000115">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aprovação da consulta prévia da viabilidade do nome empresarial e da viabilidade de localização, quando o ato exigir; e </w:t>
      </w:r>
    </w:p>
    <w:p w:rsidR="00000000" w:rsidDel="00000000" w:rsidP="00000000" w:rsidRDefault="00000000" w:rsidRPr="00000000" w14:paraId="00000116">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utilização pelo requerente do instrumento padrão estabelecido pelo Departamento Nacional de Registro Empresarial e Integração da Secretaria de Governo Digital da Secretaria Especial de Desburocratização, Gestão e Governo Digital do Ministério da Economia. </w:t>
      </w:r>
    </w:p>
    <w:p w:rsidR="00000000" w:rsidDel="00000000" w:rsidP="00000000" w:rsidRDefault="00000000" w:rsidRPr="00000000" w14:paraId="00000117">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4º O arquivamento dos atos de extinção não previstos no inciso I do caput do art. 41 desta Lei terá o registro deferido automaticamente no caso de utilização pelo requerente do instrumento padrão estabelecido pelo Departamento Nacional de Registro Empresarial e Integração da Secretaria de Governo Digital da Secretaria Especial de Desburocratização, Gestão e Governo Digital do Ministério da Economia.</w:t>
      </w:r>
    </w:p>
    <w:p w:rsidR="00000000" w:rsidDel="00000000" w:rsidP="00000000" w:rsidRDefault="00000000" w:rsidRPr="00000000" w14:paraId="00000118">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5º Na hipótese de que tratam os §§ 3º e 4º do caput deste artigo, a análise do cumprimento das formalidades legais será feita posteriormente, no prazo de dois dias úteis, contado da data do deferimento automático do registro. </w:t>
      </w:r>
    </w:p>
    <w:p w:rsidR="00000000" w:rsidDel="00000000" w:rsidP="00000000" w:rsidRDefault="00000000" w:rsidRPr="00000000" w14:paraId="00000119">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6º Após a análise de que trata o § 6º do caput deste artigo, na hipótese de identificação da existência de vício: </w:t>
      </w:r>
    </w:p>
    <w:p w:rsidR="00000000" w:rsidDel="00000000" w:rsidP="00000000" w:rsidRDefault="00000000" w:rsidRPr="00000000" w14:paraId="0000011A">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insanável, o arquivamento será cancelado; ou </w:t>
      </w:r>
    </w:p>
    <w:p w:rsidR="00000000" w:rsidDel="00000000" w:rsidP="00000000" w:rsidRDefault="00000000" w:rsidRPr="00000000" w14:paraId="0000011B">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sanável, será seguido o procedimento estabelecido pelo Departamento Nacional de Registro Empresarial e Integração (DREI).” (NR) </w:t>
      </w:r>
    </w:p>
    <w:p w:rsidR="00000000" w:rsidDel="00000000" w:rsidP="00000000" w:rsidRDefault="00000000" w:rsidRPr="00000000" w14:paraId="0000011C">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D">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44. ...................................................................... </w:t>
      </w:r>
    </w:p>
    <w:p w:rsidR="00000000" w:rsidDel="00000000" w:rsidP="00000000" w:rsidRDefault="00000000" w:rsidRPr="00000000" w14:paraId="0000011E">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Recurso ao Departamento Nacional de Registro Empresarial e Integração (DREI).” (NR) </w:t>
      </w:r>
    </w:p>
    <w:p w:rsidR="00000000" w:rsidDel="00000000" w:rsidP="00000000" w:rsidRDefault="00000000" w:rsidRPr="00000000" w14:paraId="0000011F">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0">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47. Das decisões do Plenário cabe recurso ao Departamento Nacional de Registro Empresarial e Integração (DREI) como última instância administrativa.” (NR) </w:t>
      </w:r>
    </w:p>
    <w:p w:rsidR="00000000" w:rsidDel="00000000" w:rsidP="00000000" w:rsidRDefault="00000000" w:rsidRPr="00000000" w14:paraId="00000121">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2">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54. A prova da publicidade de atos societários, quando exigida em lei, será feita mediante anotação nos registros da junta comercial à vista da apresentação da folha do Diário Oficial, em sua versão eletrônica, dispensada a juntada da mencionada folha.” (NR) </w:t>
      </w:r>
    </w:p>
    <w:p w:rsidR="00000000" w:rsidDel="00000000" w:rsidP="00000000" w:rsidRDefault="00000000" w:rsidRPr="00000000" w14:paraId="00000123">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4">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55. Compete ao Departamento Nacional de Registro Empresarial Integração propor a elaboração da tabela de preços dos serviços ^ pertinentes ao Registro Público de Empresas Mercantis, na parte relativa aos atos de natureza federal, bem como especificar os atos a serem observados pelas juntas comerciais na elaboração de suas tabelas locais. </w:t>
      </w:r>
    </w:p>
    <w:p w:rsidR="00000000" w:rsidDel="00000000" w:rsidP="00000000" w:rsidRDefault="00000000" w:rsidRPr="00000000" w14:paraId="00000125">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1º As isenções de preços de serviços restringem -se aos casos previstos em lei. </w:t>
      </w:r>
    </w:p>
    <w:p w:rsidR="00000000" w:rsidDel="00000000" w:rsidP="00000000" w:rsidRDefault="00000000" w:rsidRPr="00000000" w14:paraId="00000126">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2º É vedada a cobrança de preço pelo serviço de arquivamento dos documentos relativos à extinção do registro do empresário individual, da Empresa Individual de Responsabilidade Limitada (Eireli) e da Sociedade Limitada (Ltda.).” (NR) </w:t>
      </w:r>
    </w:p>
    <w:p w:rsidR="00000000" w:rsidDel="00000000" w:rsidP="00000000" w:rsidRDefault="00000000" w:rsidRPr="00000000" w14:paraId="00000127">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8">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63. ....................................................................... </w:t>
      </w:r>
    </w:p>
    <w:p w:rsidR="00000000" w:rsidDel="00000000" w:rsidP="00000000" w:rsidRDefault="00000000" w:rsidRPr="00000000" w14:paraId="00000129">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1º A cópia de documento, autenticada na forma prevista em lei, dispensará nova conferência com o documento original. </w:t>
      </w:r>
    </w:p>
    <w:p w:rsidR="00000000" w:rsidDel="00000000" w:rsidP="00000000" w:rsidRDefault="00000000" w:rsidRPr="00000000" w14:paraId="0000012A">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2º A autenticação do documento poderá ser realizada por meio de comparação entre o documento original e a sua cópia pelo servidor a quem o documento seja apresentado. </w:t>
      </w:r>
    </w:p>
    <w:p w:rsidR="00000000" w:rsidDel="00000000" w:rsidP="00000000" w:rsidRDefault="00000000" w:rsidRPr="00000000" w14:paraId="0000012B">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3º Fica dispensada a autenticação a que se refere o § 1º do caput deste artigo quando o advogado ou o contador da parte interessada declarar, sob sua responsabilidade pessoal, a autenticidade da cópia do documento.” (NR) </w:t>
      </w:r>
    </w:p>
    <w:p w:rsidR="00000000" w:rsidDel="00000000" w:rsidP="00000000" w:rsidRDefault="00000000" w:rsidRPr="00000000" w14:paraId="0000012C">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D">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65-A. Os atos de constituição, alteração, transformação, incorporação, fusão, cisão, dissolução e extinção de registro de empresários e de pessoas jurídicas poderão ser realizados também por meio de sistema eletrônico criado e mantido pela Administração Pública federal.” (NR) </w:t>
      </w:r>
    </w:p>
    <w:p w:rsidR="00000000" w:rsidDel="00000000" w:rsidP="00000000" w:rsidRDefault="00000000" w:rsidRPr="00000000" w14:paraId="0000012E">
      <w:pPr>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F">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15. O Decreto-Lei nº 5.452, de 1º de maio de 1943 (Consolidação das Leis do Trabalho), passa a vigorar com a seguinte redação:</w:t>
      </w:r>
    </w:p>
    <w:p w:rsidR="00000000" w:rsidDel="00000000" w:rsidP="00000000" w:rsidRDefault="00000000" w:rsidRPr="00000000" w14:paraId="00000130">
      <w:pPr>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1">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Art. 13  ..................................................................................</w:t>
      </w:r>
    </w:p>
    <w:p w:rsidR="00000000" w:rsidDel="00000000" w:rsidP="00000000" w:rsidRDefault="00000000" w:rsidRPr="00000000" w14:paraId="00000132">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33">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2º A Carteira de Trabalho e Previdência Social obedecerá aos modelos que o Ministério da Economia adotar.” (NR) </w:t>
      </w:r>
    </w:p>
    <w:p w:rsidR="00000000" w:rsidDel="00000000" w:rsidP="00000000" w:rsidRDefault="00000000" w:rsidRPr="00000000" w14:paraId="00000134">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5">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14. A Carteira de Trabalho e Previdência Social será emitida pelo Ministério da Economia preferencialmente em meio eletrônico.</w:t>
      </w:r>
    </w:p>
    <w:p w:rsidR="00000000" w:rsidDel="00000000" w:rsidP="00000000" w:rsidRDefault="00000000" w:rsidRPr="00000000" w14:paraId="00000136">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único. Excepcionalmente, a Carteira de Trabalho e Previdência Social poderá ser emitida em meio físico:</w:t>
      </w:r>
    </w:p>
    <w:p w:rsidR="00000000" w:rsidDel="00000000" w:rsidP="00000000" w:rsidRDefault="00000000" w:rsidRPr="00000000" w14:paraId="00000137">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nas as unidades descentralizadas do Ministério da Economia que forem habilitadas para tanto; ou</w:t>
      </w:r>
    </w:p>
    <w:p w:rsidR="00000000" w:rsidDel="00000000" w:rsidP="00000000" w:rsidRDefault="00000000" w:rsidRPr="00000000" w14:paraId="00000138">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mediante convênio, por órgãos federais, estaduais e municipais da administração direta ou indireta.</w:t>
      </w:r>
    </w:p>
    <w:p w:rsidR="00000000" w:rsidDel="00000000" w:rsidP="00000000" w:rsidRDefault="00000000" w:rsidRPr="00000000" w14:paraId="00000139">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mediante convênio com serviços notariais e de registro, sem custos para a administração, garantidas as condições de segurança das informações.” (NR)</w:t>
      </w:r>
    </w:p>
    <w:p w:rsidR="00000000" w:rsidDel="00000000" w:rsidP="00000000" w:rsidRDefault="00000000" w:rsidRPr="00000000" w14:paraId="0000013A">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B">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15. Os procedimentos para emissão da Carteira de Trabalho e Previdência Social ao interessado serão estabelecidos pelo Ministério da Economia em regulamento próprio, sendo privilegiada a emissão em formato eletrônico.” (NR)</w:t>
      </w:r>
    </w:p>
    <w:p w:rsidR="00000000" w:rsidDel="00000000" w:rsidP="00000000" w:rsidRDefault="00000000" w:rsidRPr="00000000" w14:paraId="0000013C">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D">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16. Carteira de Trabalho e Previdência Social terá como identificação única do empregado o número de inscrição no Cadastro de Pessoas Físicas – CPF.” (NR)</w:t>
      </w:r>
    </w:p>
    <w:p w:rsidR="00000000" w:rsidDel="00000000" w:rsidP="00000000" w:rsidRDefault="00000000" w:rsidRPr="00000000" w14:paraId="0000013E">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F">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29. O empregador terá o prazo de cinco dias úteis para anotar na Carteira de Trabalho e Previdência Social, em relação aos trabalhadores que admitir, a data de admissão, a remuneração e as condições especiais, se houver, sendo facultada a adoção de sistema manual, mecânico ou eletrônico, conforme instruções a serem expedidas pelo Ministério da Economia. </w:t>
      </w:r>
    </w:p>
    <w:p w:rsidR="00000000" w:rsidDel="00000000" w:rsidP="00000000" w:rsidRDefault="00000000" w:rsidRPr="00000000" w14:paraId="00000140">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41">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§6º A comunicação, pelo trabalhador, do número de inscrição no Cadastro de Pessoas Físicas – CPF ao empregador, equivale à apresentação da Carteira de Trabalho e Previdência Social em meio digital, ficando o empregador dispensado da emissão de recibo.</w:t>
      </w:r>
    </w:p>
    <w:p w:rsidR="00000000" w:rsidDel="00000000" w:rsidP="00000000" w:rsidRDefault="00000000" w:rsidRPr="00000000" w14:paraId="00000142">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§7º Os registros eletrônicos gerados pelo empregador nos sistemas informatizados da Carteira de Trabalho e Previdência Social em meio digital equivalem às anotações a que se refere esta lei.</w:t>
      </w:r>
    </w:p>
    <w:p w:rsidR="00000000" w:rsidDel="00000000" w:rsidP="00000000" w:rsidRDefault="00000000" w:rsidRPr="00000000" w14:paraId="00000143">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§8º O trabalhador deverá ter acesso às informações da sua Carteira de Trabalho e Previdência Social no prazo de até 48 (quarenta e oito) horas a partir de sua anotação.”  (NR)</w:t>
      </w:r>
    </w:p>
    <w:p w:rsidR="00000000" w:rsidDel="00000000" w:rsidP="00000000" w:rsidRDefault="00000000" w:rsidRPr="00000000" w14:paraId="00000144">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5">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40. As Carteiras de Trabalho e Previdência Social regularmente emitidas e anotadas servirão de prova:</w:t>
      </w:r>
    </w:p>
    <w:p w:rsidR="00000000" w:rsidDel="00000000" w:rsidP="00000000" w:rsidRDefault="00000000" w:rsidRPr="00000000" w14:paraId="00000146">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(NR)</w:t>
      </w:r>
    </w:p>
    <w:p w:rsidR="00000000" w:rsidDel="00000000" w:rsidP="00000000" w:rsidRDefault="00000000" w:rsidRPr="00000000" w14:paraId="00000147">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8">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67. Será assegurado a todo empregado um repouso semanal remunerado de vinte e quatro horas consecutivas, preferencialmente aos domingos.” (NR)</w:t>
      </w:r>
    </w:p>
    <w:p w:rsidR="00000000" w:rsidDel="00000000" w:rsidP="00000000" w:rsidRDefault="00000000" w:rsidRPr="00000000" w14:paraId="00000149">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A">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68. Fica autorizado o trabalho aos domingos e feriados.</w:t>
      </w:r>
    </w:p>
    <w:p w:rsidR="00000000" w:rsidDel="00000000" w:rsidP="00000000" w:rsidRDefault="00000000" w:rsidRPr="00000000" w14:paraId="0000014B">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único. O repouso semanal remunerado deverá coincidir com o domingo pelo menos uma vez no período máximo de sete semanas.” (NR) </w:t>
      </w:r>
    </w:p>
    <w:p w:rsidR="00000000" w:rsidDel="00000000" w:rsidP="00000000" w:rsidRDefault="00000000" w:rsidRPr="00000000" w14:paraId="0000014C">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D">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70. O trabalho aos domingos e nos feriados será remunerado em dobro, salvo se o empregador determinar outro dia de folga compensatória.” (NR)</w:t>
      </w:r>
    </w:p>
    <w:p w:rsidR="00000000" w:rsidDel="00000000" w:rsidP="00000000" w:rsidRDefault="00000000" w:rsidRPr="00000000" w14:paraId="0000014E">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F">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74. O horário de trabalho será anotado em registro de empregados.</w:t>
      </w:r>
    </w:p>
    <w:p w:rsidR="00000000" w:rsidDel="00000000" w:rsidP="00000000" w:rsidRDefault="00000000" w:rsidRPr="00000000" w14:paraId="00000150">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1º Para os estabelecimentos de mais de vinte trabalhadores será obrigatória a anotação da hora de entrada e de saída, em registro manual, mecânico ou eletrônico, conforme instruções expedidas pela Secretaria Especial de Previdência e Trabalho do Ministério da Economia,  podendo haver pré-assinalação do período de repouso.</w:t>
      </w:r>
    </w:p>
    <w:p w:rsidR="00000000" w:rsidDel="00000000" w:rsidP="00000000" w:rsidRDefault="00000000" w:rsidRPr="00000000" w14:paraId="00000151">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2º Se o trabalho for executado fora do estabelecimento, o horário dos empregados constará registro manual, mecânico ou eletrônico em seu poder, sem prejuízo do que dispõe caput deste artigo.</w:t>
      </w:r>
    </w:p>
    <w:p w:rsidR="00000000" w:rsidDel="00000000" w:rsidP="00000000" w:rsidRDefault="00000000" w:rsidRPr="00000000" w14:paraId="00000152">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3º Fica permitida a utilização de registro de ponto por exceção à jornada regular de trabalho, mediante acordo individual escrito, convenção coletiva ou acordo coletivo de trabalho.” (NR)</w:t>
      </w:r>
    </w:p>
    <w:p w:rsidR="00000000" w:rsidDel="00000000" w:rsidP="00000000" w:rsidRDefault="00000000" w:rsidRPr="00000000" w14:paraId="00000153">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4">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135. ......................................................................................... </w:t>
      </w:r>
    </w:p>
    <w:p w:rsidR="00000000" w:rsidDel="00000000" w:rsidP="00000000" w:rsidRDefault="00000000" w:rsidRPr="00000000" w14:paraId="00000155">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§3º Nos casos em que o empregado possua a CTPS em meio digital, a anotação será feita nos sistemas a que se refere o inciso II do § 6º do art. 29, na forma do regulamento, ficando dispensadas as anotações de que tratam os §§ 1º e 2º.” (NR)</w:t>
      </w:r>
    </w:p>
    <w:p w:rsidR="00000000" w:rsidDel="00000000" w:rsidP="00000000" w:rsidRDefault="00000000" w:rsidRPr="00000000" w14:paraId="00000156">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7">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161. A autoridade máxima regional em matéria de inspeção do trabalho, à vista do relatório técnico de auditor fiscal do trabalho que demonstre grave e iminente risco para o trabalhador, poderá interditar estabelecimento, setor de serviço, máquina ou equipamento, ou embargar obra, indicando na decisão, tomada com a brevidade que a ocorrência exigir, as providências que deverão ser adotadas para prevenção de acidentes e doenças graves do trabalho.</w:t>
      </w:r>
    </w:p>
    <w:p w:rsidR="00000000" w:rsidDel="00000000" w:rsidP="00000000" w:rsidRDefault="00000000" w:rsidRPr="00000000" w14:paraId="00000158">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1º As autoridades federais, estaduais e municipais darão imediato apoio às medidas determinadas pela autoridade máxima regional em matéria de inspeção do trabalho.</w:t>
      </w:r>
    </w:p>
    <w:p w:rsidR="00000000" w:rsidDel="00000000" w:rsidP="00000000" w:rsidRDefault="00000000" w:rsidRPr="00000000" w14:paraId="00000159">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2º Da decisão da autoridade máxima regional em matéria de inspeção do trabalho poderão os interessados recorrer, no prazo de 10 (dez) dias, para a unidade competente para o julgamento de recursos da Secretaria de Trabalho do Ministério da Economia, a qual terá prazo de 05 (cinco) dias úteis para a análise do recurso, e terá a faculdade de dar efeito suspensivo ao mesmo.                    </w:t>
      </w:r>
    </w:p>
    <w:p w:rsidR="00000000" w:rsidDel="00000000" w:rsidP="00000000" w:rsidRDefault="00000000" w:rsidRPr="00000000" w14:paraId="0000015A">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3º Responderá por desobediência, além das medidas penais cabíveis, quem, após determinada a interdição ou embargo, ordenar ou permitir o funcionamento do   estabelecimento ou de um dos seus setores, a utilização de máquina ou equipamento, ou o prosseguimento de obra.                     </w:t>
      </w:r>
    </w:p>
    <w:p w:rsidR="00000000" w:rsidDel="00000000" w:rsidP="00000000" w:rsidRDefault="00000000" w:rsidRPr="00000000" w14:paraId="0000015B">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4º A autoridade máxima regional em matéria de inspeção do trabalho, independente de recurso, e após laudo técnico do serviço competente, poderá levantar a interdição.</w:t>
      </w:r>
    </w:p>
    <w:p w:rsidR="00000000" w:rsidDel="00000000" w:rsidP="00000000" w:rsidRDefault="00000000" w:rsidRPr="00000000" w14:paraId="0000015C">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5º Durante a paralisação dos serviços, em decorrência da interdição ou embargo, os empregados receberão os salários como se estivessem em efetivo exercício.” (NR)</w:t>
      </w:r>
    </w:p>
    <w:p w:rsidR="00000000" w:rsidDel="00000000" w:rsidP="00000000" w:rsidRDefault="00000000" w:rsidRPr="00000000" w14:paraId="0000015D">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E">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227. ....................................................................................................</w:t>
      </w:r>
    </w:p>
    <w:p w:rsidR="00000000" w:rsidDel="00000000" w:rsidP="00000000" w:rsidRDefault="00000000" w:rsidRPr="00000000" w14:paraId="0000015F">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único. Quando, em caso de indeclinável necessidade, forem os operadores obrigados a permanecer em serviço além do período normal fixado neste artigo, a empresa pagar-lhes-á extraordinariamente o tempo excedente com acréscimo de 50% (cinquenta por cento) sobre o seu salário-hora normal.” (NR)</w:t>
      </w:r>
    </w:p>
    <w:p w:rsidR="00000000" w:rsidDel="00000000" w:rsidP="00000000" w:rsidRDefault="00000000" w:rsidRPr="00000000" w14:paraId="00000160">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1">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385. O descanso semanal remunerado será de vinte e quatro horas consecutivas.” (NR)</w:t>
      </w:r>
    </w:p>
    <w:p w:rsidR="00000000" w:rsidDel="00000000" w:rsidP="00000000" w:rsidRDefault="00000000" w:rsidRPr="00000000" w14:paraId="00000162">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3">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386. O repouso semanal remunerado deverá coincidir com o domingo pelo menos uma vez no período máximo de 07 (sete) semanas.” (NR)</w:t>
      </w:r>
    </w:p>
    <w:p w:rsidR="00000000" w:rsidDel="00000000" w:rsidP="00000000" w:rsidRDefault="00000000" w:rsidRPr="00000000" w14:paraId="00000164">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5">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386-A. Havendo necessidade imperiosa nas atividades econômicas do agronegócio e relacionadas, que estão sujeitas a condições climáticas como fator determinante do período para sua execução, poderá o trabalho ser exercido em sábados, domingos e feriados, observado as devidas remunerações conforme este Decreto-Lei.</w:t>
      </w:r>
    </w:p>
    <w:p w:rsidR="00000000" w:rsidDel="00000000" w:rsidP="00000000" w:rsidRDefault="00000000" w:rsidRPr="00000000" w14:paraId="00000166">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único. Inclui-se no disposto no caput o fornecimento, beneficiamento, armazenamento e transporte de produtos agrícolas”. (NR)</w:t>
      </w:r>
    </w:p>
    <w:p w:rsidR="00000000" w:rsidDel="00000000" w:rsidP="00000000" w:rsidRDefault="00000000" w:rsidRPr="00000000" w14:paraId="00000167">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8">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444............................................................................................</w:t>
      </w:r>
    </w:p>
    <w:p w:rsidR="00000000" w:rsidDel="00000000" w:rsidP="00000000" w:rsidRDefault="00000000" w:rsidRPr="00000000" w14:paraId="00000169">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1º ................................................................................................... </w:t>
      </w:r>
    </w:p>
    <w:p w:rsidR="00000000" w:rsidDel="00000000" w:rsidP="00000000" w:rsidRDefault="00000000" w:rsidRPr="00000000" w14:paraId="0000016A">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2º Os contratos de trabalho de remuneração mensal acima de 30 (trinta) salários mínimos, cujas partes contratantes tenham sido assistidas por advogados de sua escolha no momento do pacto, será regido pelo direito civil, ressalvadas exclusivamente as garantias do art. 7º da Constituição Federal.” (NR)</w:t>
      </w:r>
    </w:p>
    <w:p w:rsidR="00000000" w:rsidDel="00000000" w:rsidP="00000000" w:rsidRDefault="00000000" w:rsidRPr="00000000" w14:paraId="0000016B">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C">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626. Incumbe às autoridades competentes da Secretaria Especial de Previdência e Trabalho do Ministério da Economia, ou àquelas que exerçam funções delegadas, a fiscalização do cumprimento das normas de proteção ao trabalho.</w:t>
      </w:r>
    </w:p>
    <w:p w:rsidR="00000000" w:rsidDel="00000000" w:rsidP="00000000" w:rsidRDefault="00000000" w:rsidRPr="00000000" w14:paraId="0000016D">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único. Os Auditores Fiscais do Trabalho serão competentes para a fiscalização a que se refere o presente artigo, na forma das instruções que forem expedidas pela Secretaria Especial de Previdência e Trabalho do Ministério da Economia.” (NR)</w:t>
      </w:r>
    </w:p>
    <w:p w:rsidR="00000000" w:rsidDel="00000000" w:rsidP="00000000" w:rsidRDefault="00000000" w:rsidRPr="00000000" w14:paraId="0000016E">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F">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627. A fim de promover a instrução dos responsáveis no cumprimento das leis de proteção do trabalho, a fiscalização observará o critério de dupla visita nos seguintes casos:</w:t>
      </w:r>
    </w:p>
    <w:p w:rsidR="00000000" w:rsidDel="00000000" w:rsidP="00000000" w:rsidRDefault="00000000" w:rsidRPr="00000000" w14:paraId="00000170">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quando ocorrer promulgação ou expedição de novas leis, regulamentos ou instruções ministeriais, durante 180 (cento e oitenta dias) dias, contados da vigência das disposições;</w:t>
      </w:r>
    </w:p>
    <w:p w:rsidR="00000000" w:rsidDel="00000000" w:rsidP="00000000" w:rsidRDefault="00000000" w:rsidRPr="00000000" w14:paraId="00000171">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quando se tratar de primeira inspeção em estabelecimentos ou locais de trabalho recentemente inaugurados, até 180 (cento e oitenta dias) dias do seu efetivo funcionamento;</w:t>
      </w:r>
    </w:p>
    <w:p w:rsidR="00000000" w:rsidDel="00000000" w:rsidP="00000000" w:rsidRDefault="00000000" w:rsidRPr="00000000" w14:paraId="00000172">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quando se tratar de microempresa, empresa de pequeno porte e estabelecimento ou local de trabalho com até 20 (vinte) trabalhadores; ou</w:t>
      </w:r>
    </w:p>
    <w:p w:rsidR="00000000" w:rsidDel="00000000" w:rsidP="00000000" w:rsidRDefault="00000000" w:rsidRPr="00000000" w14:paraId="00000173">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 – em se tratando de infrações aos preceitos legais ou regulamentadores sobre segurança e saúde do trabalhador de gradação leve, conforme regulamento da Secretaria Especial de Previdência e Trabalho do Ministério da Economia.</w:t>
      </w:r>
    </w:p>
    <w:p w:rsidR="00000000" w:rsidDel="00000000" w:rsidP="00000000" w:rsidRDefault="00000000" w:rsidRPr="00000000" w14:paraId="00000174">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 – em se tratando de visitas técnicas de instrução de auditores fiscais do trabalho;</w:t>
      </w:r>
    </w:p>
    <w:p w:rsidR="00000000" w:rsidDel="00000000" w:rsidP="00000000" w:rsidRDefault="00000000" w:rsidRPr="00000000" w14:paraId="00000175">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único. O benefício da dupla visita não será aplicado quando for constatada infração por falta de registro de empregado ou de anotação de CPTS, atraso no pagamento de salário e de FGTS,  reincidência, fraude, resistência ou embaraço à fiscalização, bem como nas situações em que restar configurado acidente do trabalho, trabalho em condições análogas às de escravo ou trabalho infantil.” (NR)</w:t>
      </w:r>
    </w:p>
    <w:p w:rsidR="00000000" w:rsidDel="00000000" w:rsidP="00000000" w:rsidRDefault="00000000" w:rsidRPr="00000000" w14:paraId="00000176">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7">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627-A.  Poderá ser instaurado, pela autoridade fiscal trabalhista, procedimento especial para a ação fiscal, objetivando a orientação sobre o cumprimento das leis de proteção ao trabalho, bem como a prevenção e o saneamento de infrações à legislação, mediante Termo de Compromisso com eficácia de título executivo extrajudicial, na forma a ser disciplinada pelo Ministério da Economia. </w:t>
      </w:r>
    </w:p>
    <w:p w:rsidR="00000000" w:rsidDel="00000000" w:rsidP="00000000" w:rsidRDefault="00000000" w:rsidRPr="00000000" w14:paraId="00000178">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único. É vedada a imposição à empresa, por força do mesmo fato gerador, de mais de um termo compromisso ou de ajustamento de conduta, ainda que por órgãos distintos, tendo prevalência o que for assinado primeiramente.” (NR)</w:t>
      </w:r>
    </w:p>
    <w:p w:rsidR="00000000" w:rsidDel="00000000" w:rsidP="00000000" w:rsidRDefault="00000000" w:rsidRPr="00000000" w14:paraId="00000179">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A">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628-A. Fica instituído o domicílio eletrônico trabalhista, regulamentado pela Secretaria Especial de Previdência e Trabalho do Ministério da Economia, destinado a: </w:t>
      </w:r>
    </w:p>
    <w:p w:rsidR="00000000" w:rsidDel="00000000" w:rsidP="00000000" w:rsidRDefault="00000000" w:rsidRPr="00000000" w14:paraId="0000017B">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cientificar o empregador de quaisquer atos administrativos, ações fiscais, intimações e avisos em geral;</w:t>
      </w:r>
    </w:p>
    <w:p w:rsidR="00000000" w:rsidDel="00000000" w:rsidP="00000000" w:rsidRDefault="00000000" w:rsidRPr="00000000" w14:paraId="0000017C">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receber, por parte do empregador, documentação eletrônica exigida no curso das ações fiscais ou apresentação de defesa e recurso no âmbito de processos administrativos;</w:t>
      </w:r>
    </w:p>
    <w:p w:rsidR="00000000" w:rsidDel="00000000" w:rsidP="00000000" w:rsidRDefault="00000000" w:rsidRPr="00000000" w14:paraId="0000017D">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§1º As comunicações eletrônicas dispensam a sua publicação no Diário Oficial e o envio por via postal, sendo considerada pessoal para todos os efeitos legais;</w:t>
      </w:r>
    </w:p>
    <w:p w:rsidR="00000000" w:rsidDel="00000000" w:rsidP="00000000" w:rsidRDefault="00000000" w:rsidRPr="00000000" w14:paraId="0000017E">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§2º A ciência por meio do sistema eletrônico, com utilização de certificação digital ou de código de acesso, possuirá os requisitos de validade;</w:t>
      </w:r>
    </w:p>
    <w:p w:rsidR="00000000" w:rsidDel="00000000" w:rsidP="00000000" w:rsidRDefault="00000000" w:rsidRPr="00000000" w14:paraId="0000017F">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§3º A utilização do sistema de comunicação eletrônica previsto no caput é obrigatória para todos os empregadores, regulamentado pela Secretaria Especial de Previdência e Trabalho do Ministério da Economia, garantidos prazos diferenciados para a microempresas e para as empresas de pequeno porte optantes pelo Simples Nacional.</w:t>
      </w:r>
    </w:p>
    <w:p w:rsidR="00000000" w:rsidDel="00000000" w:rsidP="00000000" w:rsidRDefault="00000000" w:rsidRPr="00000000" w14:paraId="00000180">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4º A comunicação a que se refere o caput em relação ao empregador doméstico se dará por meio da utilização de sistema eletrônico na forma prevista pelo artigo 32 da Lei Complementar nº 150 de 2015.</w:t>
      </w:r>
    </w:p>
    <w:p w:rsidR="00000000" w:rsidDel="00000000" w:rsidP="00000000" w:rsidRDefault="00000000" w:rsidRPr="00000000" w14:paraId="00000181">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5º A comunicação a que se refere o caput não afasta a possibilidade de utilização de outros meios legais de comunicação com o empregador a serem utilizados a critério da autoridade competente.” (NR)</w:t>
      </w:r>
    </w:p>
    <w:p w:rsidR="00000000" w:rsidDel="00000000" w:rsidP="00000000" w:rsidRDefault="00000000" w:rsidRPr="00000000" w14:paraId="00000182">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3">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629. O auto de infração será lavrado no curso da ação fiscal em duplicata, sendo uma via entregue ao infrator, contra recibo, ou preferencialmente enviada por meio eletrônico, nos termos do art. 628-A, ou excepcionalmente via postal.</w:t>
      </w:r>
    </w:p>
    <w:p w:rsidR="00000000" w:rsidDel="00000000" w:rsidP="00000000" w:rsidRDefault="00000000" w:rsidRPr="00000000" w14:paraId="00000184">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1º O auto será lavrado no curso da ação fiscal e não terá o seu valor probante condicionado à assinatura do infrator ou de testemunhas.</w:t>
      </w:r>
    </w:p>
    <w:p w:rsidR="00000000" w:rsidDel="00000000" w:rsidP="00000000" w:rsidRDefault="00000000" w:rsidRPr="00000000" w14:paraId="00000185">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§2º Lavrado o auto de infração, não poderá ele ser inutilizado, nem sustado o curso do respectivo processo, devendo o agente da inspeção apresentá-lo à autoridade competente, mesmo se incidir em erro.</w:t>
      </w:r>
    </w:p>
    <w:p w:rsidR="00000000" w:rsidDel="00000000" w:rsidP="00000000" w:rsidRDefault="00000000" w:rsidRPr="00000000" w14:paraId="00000186">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§3º O prazo para apresentação de defesa será de 30 (trinta) dias, inclusive para a União, os Estados, o Distrito Federal, os Municípios e suas respectivas autarquias e fundações de direito público, contados do recebimento do auto. </w:t>
      </w:r>
    </w:p>
    <w:p w:rsidR="00000000" w:rsidDel="00000000" w:rsidP="00000000" w:rsidRDefault="00000000" w:rsidRPr="00000000" w14:paraId="00000187">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§4º O auto de infração será registrado em meio eletrônico pelo órgão fiscalizador, de modo a assegurar o controle do seu processamento.” (NR)</w:t>
      </w:r>
    </w:p>
    <w:p w:rsidR="00000000" w:rsidDel="00000000" w:rsidP="00000000" w:rsidRDefault="00000000" w:rsidRPr="00000000" w14:paraId="00000188">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9">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630. .............................................................................................. </w:t>
      </w:r>
    </w:p>
    <w:p w:rsidR="00000000" w:rsidDel="00000000" w:rsidP="00000000" w:rsidRDefault="00000000" w:rsidRPr="00000000" w14:paraId="0000018A">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§4º Os documentos sujeitos à inspeção deverão permanecer nos locais de trabalho, somente se admitindo, a critério da autoridade competente, sejam os mesmos apresentados por meio eletrônico ou, alternativamente, em dia e hora previamente fixados pelo agente da inspeção.” (NR)</w:t>
      </w:r>
    </w:p>
    <w:p w:rsidR="00000000" w:rsidDel="00000000" w:rsidP="00000000" w:rsidRDefault="00000000" w:rsidRPr="00000000" w14:paraId="0000018B">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C">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631. Qualquer cidadão, entidade ou órgão público, poderá comunicar à autoridade trabalhista as infrações que verificar, devendo esta proceder às apurações necessárias. </w:t>
      </w:r>
    </w:p>
    <w:p w:rsidR="00000000" w:rsidDel="00000000" w:rsidP="00000000" w:rsidRDefault="00000000" w:rsidRPr="00000000" w14:paraId="0000018D">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(NR)</w:t>
      </w:r>
    </w:p>
    <w:p w:rsidR="00000000" w:rsidDel="00000000" w:rsidP="00000000" w:rsidRDefault="00000000" w:rsidRPr="00000000" w14:paraId="0000018E">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F">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632. Poderá o autuado apresentar documentos e requerer a produção das provas que lhe parecerem necessárias à elucidação do processo, nos prazos destinados à defesa e recurso,  cabendo à autoridade competente julgar a pertinência e necessidade de tais provas. </w:t>
      </w:r>
    </w:p>
    <w:p w:rsidR="00000000" w:rsidDel="00000000" w:rsidP="00000000" w:rsidRDefault="00000000" w:rsidRPr="00000000" w14:paraId="00000190">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único. Exceto se existir dúvida fundada quanto à autenticidade ou previsão legal, fica dispensado o reconhecimento de firma e a autenticação de cópia dos documentos expedidos no País e destinados a fazer prova junto a órgãos e entidades do Poder Executivo federal.” (NR)</w:t>
      </w:r>
    </w:p>
    <w:p w:rsidR="00000000" w:rsidDel="00000000" w:rsidP="00000000" w:rsidRDefault="00000000" w:rsidRPr="00000000" w14:paraId="00000191">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2">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634. A imposição de multas incumbe à autoridade regional em matéria de inspeção do trabalho, na forma estabelecida por este Título.” (NR)</w:t>
      </w:r>
    </w:p>
    <w:p w:rsidR="00000000" w:rsidDel="00000000" w:rsidP="00000000" w:rsidRDefault="00000000" w:rsidRPr="00000000" w14:paraId="00000193">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§1º A análise de defesa administrativa observará o requisito de desterritorialização, sempre que os meios técnicos permitirem, hipótese em que será vedada a análise de defesa cujo auto tenha sido lavrado naquela mesma unidade federativa.</w:t>
      </w:r>
    </w:p>
    <w:p w:rsidR="00000000" w:rsidDel="00000000" w:rsidP="00000000" w:rsidRDefault="00000000" w:rsidRPr="00000000" w14:paraId="00000194">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§2º Deverá ser adotado sistema de distribuição aleatória de processos para análise, decisão e imposição de multas. (NR)”</w:t>
      </w:r>
    </w:p>
    <w:p w:rsidR="00000000" w:rsidDel="00000000" w:rsidP="00000000" w:rsidRDefault="00000000" w:rsidRPr="00000000" w14:paraId="00000195">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6">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635. De toda decisão que impuser multa por infração das leis e disposições reguladoras do trabalho, caberá recurso em segunda instância administrativa, para a unidade competente para o julgamento de recursos da Secretaria de Trabalho do Ministério da Economia. </w:t>
      </w:r>
    </w:p>
    <w:p w:rsidR="00000000" w:rsidDel="00000000" w:rsidP="00000000" w:rsidRDefault="00000000" w:rsidRPr="00000000" w14:paraId="00000197">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§1º As decisões serão sempre fundamentadas e atenderão aos princípios da impessoalidade, ampla defesa e contraditório.</w:t>
      </w:r>
    </w:p>
    <w:p w:rsidR="00000000" w:rsidDel="00000000" w:rsidP="00000000" w:rsidRDefault="00000000" w:rsidRPr="00000000" w14:paraId="00000198">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2º A decisão de recursos em segunda e última instância administrativa poderá valer-se de conselho recursal paritário, tripartite, integrante da estrutura da Secretaria de Trabalho do Ministério da Economia, e composto por representantes dos trabalhadores, empregadores e auditores fiscais do trabalho, designados pelo Secretário Especial de Previdência e Trabalho, na forma e nos prazos estabelecidos em regulamento.” (NR) </w:t>
      </w:r>
    </w:p>
    <w:p w:rsidR="00000000" w:rsidDel="00000000" w:rsidP="00000000" w:rsidRDefault="00000000" w:rsidRPr="00000000" w14:paraId="00000199">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A">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636. O prazo para interposição de recurso é de 30 (trinta) dias, contados do recebimento da notificação, inclusive para a União, os Estados, o Distrito Federal, os Municípios e suas respectivas autarquias e fundações de direito público.</w:t>
      </w:r>
    </w:p>
    <w:p w:rsidR="00000000" w:rsidDel="00000000" w:rsidP="00000000" w:rsidRDefault="00000000" w:rsidRPr="00000000" w14:paraId="0000019B">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§1º O recurso de que trata este capítulo terá efeito devolutivo e suspensivo e será apresentado perante a autoridade que houver imposto a multa, a quem competirá o juízo dos requisitos formais de admissibilidade e o encaminhamento à autoridade de instância superior. </w:t>
      </w:r>
    </w:p>
    <w:p w:rsidR="00000000" w:rsidDel="00000000" w:rsidP="00000000" w:rsidRDefault="00000000" w:rsidRPr="00000000" w14:paraId="0000019C">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2º A notificação somente será realizada por meio de edital, publicada no órgão oficial, quando o infrator estiver em lugar incerto e não sabido. </w:t>
      </w:r>
    </w:p>
    <w:p w:rsidR="00000000" w:rsidDel="00000000" w:rsidP="00000000" w:rsidRDefault="00000000" w:rsidRPr="00000000" w14:paraId="0000019D">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3º A notificação de que trata este artigo fixará igualmente o prazo de 30 (trinta) dias para que o infrator recolha o valor da multa, sob pena de cobrança executiva.</w:t>
      </w:r>
    </w:p>
    <w:p w:rsidR="00000000" w:rsidDel="00000000" w:rsidP="00000000" w:rsidRDefault="00000000" w:rsidRPr="00000000" w14:paraId="0000019E">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4º A multa será reduzida de 30% (trinta por cento) se o infrator, renunciando ao recurso, a recolher ao Tesouro Nacional dentro do prazo de 30 (trinta) dias, contados do recebimento da notificação postal, eletrônica, ou da publicação do edital.</w:t>
      </w:r>
    </w:p>
    <w:p w:rsidR="00000000" w:rsidDel="00000000" w:rsidP="00000000" w:rsidRDefault="00000000" w:rsidRPr="00000000" w14:paraId="0000019F">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5º A multa será reduzida de 50% (cinquenta por cento) se o infrator, sendo microempresa, empresa de pequeno porte e estabelecimento ou local de trabalho com até 20 (vinte) trabalhadores renunciando ao recurso, a recolher ao Tesouro Nacional dentro do prazo de 30 (trinta) dias, contados do recebimento da notificação postal, eletrônica, ou da publicação do edital.</w:t>
      </w:r>
    </w:p>
    <w:p w:rsidR="00000000" w:rsidDel="00000000" w:rsidP="00000000" w:rsidRDefault="00000000" w:rsidRPr="00000000" w14:paraId="000001A0">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6º A guia para recolhimento da multa será expedida e conferida eletronicamente para fins de concessão do desconto, verificação do valor pago e arquivamento do processo.” (NR) </w:t>
      </w:r>
    </w:p>
    <w:p w:rsidR="00000000" w:rsidDel="00000000" w:rsidP="00000000" w:rsidRDefault="00000000" w:rsidRPr="00000000" w14:paraId="000001A1">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2">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637.   De todas as decisões que proferirem em processos de infração das leis de proteção ao trabalho e que impliquem arquivamento destes, observado o disposto no parágrafo único do art. 635, deverão as autoridades prolatoras recorrer de ofício para a autoridade competente de instância superior.” (NR)   </w:t>
      </w:r>
    </w:p>
    <w:p w:rsidR="00000000" w:rsidDel="00000000" w:rsidP="00000000" w:rsidRDefault="00000000" w:rsidRPr="00000000" w14:paraId="000001A3">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637-A. Instituído o conselho nos termos do art. 635, §4º, caberá pedido de uniformização de jurisprudência, no prazo de 15 (quinze) dias da ciência do acórdão do interessado, de decisão que der à lei interpretação divergente da que lhe tenha dado outra câmara, turma ou similar”.</w:t>
      </w:r>
    </w:p>
    <w:p w:rsidR="00000000" w:rsidDel="00000000" w:rsidP="00000000" w:rsidRDefault="00000000" w:rsidRPr="00000000" w14:paraId="000001A4">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5">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638. São definitivas as decisões de:</w:t>
      </w:r>
    </w:p>
    <w:p w:rsidR="00000000" w:rsidDel="00000000" w:rsidP="00000000" w:rsidRDefault="00000000" w:rsidRPr="00000000" w14:paraId="000001A6">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primeira instância, esgotado o prazo para recurso voluntário sem que este tenha sido interposto;</w:t>
      </w:r>
    </w:p>
    <w:p w:rsidR="00000000" w:rsidDel="00000000" w:rsidP="00000000" w:rsidRDefault="00000000" w:rsidRPr="00000000" w14:paraId="000001A7">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segunda instância, ressalvada a hipótese prevista no art. 637-A; </w:t>
      </w:r>
    </w:p>
    <w:p w:rsidR="00000000" w:rsidDel="00000000" w:rsidP="00000000" w:rsidRDefault="00000000" w:rsidRPr="00000000" w14:paraId="000001A8">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instância especial.” (NR)</w:t>
      </w:r>
    </w:p>
    <w:p w:rsidR="00000000" w:rsidDel="00000000" w:rsidP="00000000" w:rsidRDefault="00000000" w:rsidRPr="00000000" w14:paraId="000001A9">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A">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640. É facultado à autoridade regional em matéria de inspeção do trabalho, na conformidade de instruções expedidas pelo Ministério da Economia, promover a cobrança amigável das multas antes do encaminhamento dos processos à cobrança executiva.” (NR)  </w:t>
      </w:r>
    </w:p>
    <w:p w:rsidR="00000000" w:rsidDel="00000000" w:rsidP="00000000" w:rsidRDefault="00000000" w:rsidRPr="00000000" w14:paraId="000001AB">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C">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641. Não comparecendo o infrator, ou não depositando a importância da multa ou penalidade, encaminhar-se-á o processo para o órgão responsável pela inscrição em dívida ativa da União e cobrança executiva.” (NR)</w:t>
      </w:r>
    </w:p>
    <w:p w:rsidR="00000000" w:rsidDel="00000000" w:rsidP="00000000" w:rsidRDefault="00000000" w:rsidRPr="00000000" w14:paraId="000001AD">
      <w:pPr>
        <w:spacing w:after="120" w:line="240" w:lineRule="auto"/>
        <w:ind w:left="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E">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642. A cobrança judicial das multas impostas pelas autoridades regionais em matéria de inspeção do trabalho obedecerá ao disposto na legislação aplicável à cobrança da dívida ativa da União.” (NR)</w:t>
      </w:r>
    </w:p>
    <w:p w:rsidR="00000000" w:rsidDel="00000000" w:rsidP="00000000" w:rsidRDefault="00000000" w:rsidRPr="00000000" w14:paraId="000001AF">
      <w:pPr>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0">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16. O Sistema de Escrituração Digital de Obrigações Fiscais, Previdenciárias e Trabalhistas – eSocial, em nível federal será substituído por sistema simplificado de escrituração digital de obrigações previdenciárias, trabalhistas e fiscais, conforme regulamento do Ministério da Economia, em prazo de 120 dias.</w:t>
      </w:r>
    </w:p>
    <w:p w:rsidR="00000000" w:rsidDel="00000000" w:rsidP="00000000" w:rsidRDefault="00000000" w:rsidRPr="00000000" w14:paraId="000001B1">
      <w:pPr>
        <w:spacing w:after="120" w:line="240" w:lineRule="auto"/>
        <w:jc w:val="both"/>
        <w:rPr>
          <w:rFonts w:ascii="Arial" w:cs="Arial" w:eastAsia="Arial" w:hAnsi="Arial"/>
          <w:sz w:val="24"/>
          <w:szCs w:val="24"/>
        </w:rPr>
      </w:pPr>
      <w:bookmarkStart w:colFirst="0" w:colLast="0" w:name="_1fob9te" w:id="2"/>
      <w:bookmarkEnd w:id="2"/>
      <w:r w:rsidDel="00000000" w:rsidR="00000000" w:rsidRPr="00000000">
        <w:rPr>
          <w:rFonts w:ascii="Arial" w:cs="Arial" w:eastAsia="Arial" w:hAnsi="Arial"/>
          <w:sz w:val="24"/>
          <w:szCs w:val="24"/>
          <w:rtl w:val="0"/>
        </w:rPr>
        <w:t xml:space="preserve">Parágrafo único. Aplica-se o disposto no </w:t>
      </w:r>
      <w:r w:rsidDel="00000000" w:rsidR="00000000" w:rsidRPr="00000000">
        <w:rPr>
          <w:rFonts w:ascii="Arial" w:cs="Arial" w:eastAsia="Arial" w:hAnsi="Arial"/>
          <w:i w:val="1"/>
          <w:sz w:val="24"/>
          <w:szCs w:val="24"/>
          <w:rtl w:val="0"/>
        </w:rPr>
        <w:t xml:space="preserve">caput</w:t>
      </w:r>
      <w:r w:rsidDel="00000000" w:rsidR="00000000" w:rsidRPr="00000000">
        <w:rPr>
          <w:rFonts w:ascii="Arial" w:cs="Arial" w:eastAsia="Arial" w:hAnsi="Arial"/>
          <w:sz w:val="24"/>
          <w:szCs w:val="24"/>
          <w:rtl w:val="0"/>
        </w:rPr>
        <w:t xml:space="preserve"> deste artigo as obrigações acessórias à versão digital gerenciada pela Receita Federal do Brasil do Livro de Controle de Produção e Estoque da Secretaria Especial da Receita Federal do Brasil – “Bloco K”.</w:t>
      </w:r>
    </w:p>
    <w:p w:rsidR="00000000" w:rsidDel="00000000" w:rsidP="00000000" w:rsidRDefault="00000000" w:rsidRPr="00000000" w14:paraId="000001B2">
      <w:pPr>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3">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17. A Lei nº 11.116, de 18 de maio de 2005, passa a vigorar com as seguintes alterações:</w:t>
      </w:r>
    </w:p>
    <w:p w:rsidR="00000000" w:rsidDel="00000000" w:rsidP="00000000" w:rsidRDefault="00000000" w:rsidRPr="00000000" w14:paraId="000001B4">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Art. 5º..........................</w:t>
      </w:r>
    </w:p>
    <w:p w:rsidR="00000000" w:rsidDel="00000000" w:rsidP="00000000" w:rsidRDefault="00000000" w:rsidRPr="00000000" w14:paraId="000001B5">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B6">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3º O produtor-vendedor, para os fins de determinação do coeficiente de redução de alíquota, será o agricultor familiar ou sua cooperativa agropecuária, ou demais arranjos de comercialização que comprovem a origem do produto no âmbito do Programa Nacional de Fortalecimento da Agricultura Familiar – PRONAF.</w:t>
      </w:r>
    </w:p>
    <w:p w:rsidR="00000000" w:rsidDel="00000000" w:rsidP="00000000" w:rsidRDefault="00000000" w:rsidRPr="00000000" w14:paraId="000001B7">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B8">
      <w:pPr>
        <w:spacing w:after="36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18. A Lei nº 6.938, de 31 de agosto de 1981, passa a vigorar com as seguintes alterações:</w:t>
      </w:r>
    </w:p>
    <w:p w:rsidR="00000000" w:rsidDel="00000000" w:rsidP="00000000" w:rsidRDefault="00000000" w:rsidRPr="00000000" w14:paraId="000001B9">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17-R. Os anexos a esta lei, inclusive quanto a valores e graus de riscos, poderão ser atualizados pelo Comitê de Atualização do TCFA, a ser instituído por ato do Ministro da Meio-Ambiente.</w:t>
      </w:r>
    </w:p>
    <w:p w:rsidR="00000000" w:rsidDel="00000000" w:rsidP="00000000" w:rsidRDefault="00000000" w:rsidRPr="00000000" w14:paraId="000001BA">
      <w:pPr>
        <w:spacing w:after="120" w:line="240" w:lineRule="auto"/>
        <w:ind w:left="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único. Farão parte do Comitê a que se refere o caput representantes do Ministério do Meio-Ambiente, Ministério da Agricultura e Ministério da Economia, bem como representantes do setor produtivo observada a composição paritária.” (AC)</w:t>
      </w:r>
    </w:p>
    <w:p w:rsidR="00000000" w:rsidDel="00000000" w:rsidP="00000000" w:rsidRDefault="00000000" w:rsidRPr="00000000" w14:paraId="000001BB">
      <w:pPr>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C">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11. Fica autorizado a substituição de receitas e prescrições de medicamentos e similares físicos por digitais.</w:t>
      </w:r>
    </w:p>
    <w:p w:rsidR="00000000" w:rsidDel="00000000" w:rsidP="00000000" w:rsidRDefault="00000000" w:rsidRPr="00000000" w14:paraId="000001B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1º Ato do Ministro da Saúde disporá sobre a utilização pelo Sistema Único de Saúde (SUS) das soluções digitais de que trata o caput.</w:t>
      </w:r>
    </w:p>
    <w:p w:rsidR="00000000" w:rsidDel="00000000" w:rsidP="00000000" w:rsidRDefault="00000000" w:rsidRPr="00000000" w14:paraId="000001B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2º Fica autorizada a emissão de receitas digitais, que permitam a compra periódica por tempo determinado do mesmo medicamento, observada a responsabilidade profissional do médico na prescrição dos prazos.</w:t>
      </w:r>
    </w:p>
    <w:p w:rsidR="00000000" w:rsidDel="00000000" w:rsidP="00000000" w:rsidRDefault="00000000" w:rsidRPr="00000000" w14:paraId="000001BF">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19.  Fica resguardada a vigência e a eficácia ou os efeitos dos atos declaratórios do Procurador-Geral da Fazenda Nacional, aprovados pelo Ministro de Estado respectivo e editados até a data de publicação desta Lei, nos termos do disposto no inciso II do caput do art. 19 da Lei nº 10.522, de 2002.</w:t>
      </w:r>
    </w:p>
    <w:p w:rsidR="00000000" w:rsidDel="00000000" w:rsidP="00000000" w:rsidRDefault="00000000" w:rsidRPr="00000000" w14:paraId="000001C0">
      <w:pPr>
        <w:spacing w:after="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20.  A eficácia do disposto no inciso X do caput do art. 3º fica condicionada à regulamentação em ato do Poder Executivo federal.</w:t>
      </w:r>
    </w:p>
    <w:p w:rsidR="00000000" w:rsidDel="00000000" w:rsidP="00000000" w:rsidRDefault="00000000" w:rsidRPr="00000000" w14:paraId="000001C1">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21.  Ficam revogados:</w:t>
      </w:r>
    </w:p>
    <w:p w:rsidR="00000000" w:rsidDel="00000000" w:rsidP="00000000" w:rsidRDefault="00000000" w:rsidRPr="00000000" w14:paraId="000001C2">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 a Lei Delegada nº 4, de 26 de setembro de 1962;</w:t>
      </w:r>
    </w:p>
    <w:p w:rsidR="00000000" w:rsidDel="00000000" w:rsidP="00000000" w:rsidRDefault="00000000" w:rsidRPr="00000000" w14:paraId="000001C3">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 - os seguintes dispositivos do Decreto-Lei nº 73, de 21 de novembro de 1966:</w:t>
      </w:r>
    </w:p>
    <w:p w:rsidR="00000000" w:rsidDel="00000000" w:rsidP="00000000" w:rsidRDefault="00000000" w:rsidRPr="00000000" w14:paraId="000001C4">
      <w:pPr>
        <w:rPr>
          <w:rFonts w:ascii="Arial" w:cs="Arial" w:eastAsia="Arial" w:hAnsi="Arial"/>
          <w:sz w:val="24"/>
          <w:szCs w:val="24"/>
        </w:rPr>
      </w:pPr>
      <w:r w:rsidDel="00000000" w:rsidR="00000000" w:rsidRPr="00000000">
        <w:rPr>
          <w:rFonts w:ascii="Arial" w:cs="Arial" w:eastAsia="Arial" w:hAnsi="Arial"/>
          <w:sz w:val="24"/>
          <w:szCs w:val="24"/>
          <w:rtl w:val="0"/>
        </w:rPr>
        <w:t xml:space="preserve">a) o inciso III do caput do art. 5º; e</w:t>
      </w:r>
    </w:p>
    <w:p w:rsidR="00000000" w:rsidDel="00000000" w:rsidP="00000000" w:rsidRDefault="00000000" w:rsidRPr="00000000" w14:paraId="000001C5">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o inciso X do caput do art. 32; e</w:t>
      </w:r>
    </w:p>
    <w:p w:rsidR="00000000" w:rsidDel="00000000" w:rsidP="00000000" w:rsidRDefault="00000000" w:rsidRPr="00000000" w14:paraId="000001C6">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 a Lei nº 11.887, de 2008;</w:t>
      </w:r>
    </w:p>
    <w:p w:rsidR="00000000" w:rsidDel="00000000" w:rsidP="00000000" w:rsidRDefault="00000000" w:rsidRPr="00000000" w14:paraId="000001C7">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 – o inciso IV do </w:t>
      </w:r>
      <w:r w:rsidDel="00000000" w:rsidR="00000000" w:rsidRPr="00000000">
        <w:rPr>
          <w:rFonts w:ascii="Arial" w:cs="Arial" w:eastAsia="Arial" w:hAnsi="Arial"/>
          <w:i w:val="1"/>
          <w:sz w:val="24"/>
          <w:szCs w:val="24"/>
          <w:rtl w:val="0"/>
        </w:rPr>
        <w:t xml:space="preserve">caput</w:t>
      </w:r>
      <w:r w:rsidDel="00000000" w:rsidR="00000000" w:rsidRPr="00000000">
        <w:rPr>
          <w:rFonts w:ascii="Arial" w:cs="Arial" w:eastAsia="Arial" w:hAnsi="Arial"/>
          <w:sz w:val="24"/>
          <w:szCs w:val="24"/>
          <w:rtl w:val="0"/>
        </w:rPr>
        <w:t xml:space="preserve"> do art. 1.033 da Lei nº 10.406 de 10 de janeiro de 2002 (Código Civil); </w:t>
      </w:r>
    </w:p>
    <w:p w:rsidR="00000000" w:rsidDel="00000000" w:rsidP="00000000" w:rsidRDefault="00000000" w:rsidRPr="00000000" w14:paraId="000001C8">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 – os seguintes dispositivos do Decreto-Lei nº 5.452 de 1º de maio de 1942:</w:t>
      </w:r>
    </w:p>
    <w:p w:rsidR="00000000" w:rsidDel="00000000" w:rsidP="00000000" w:rsidRDefault="00000000" w:rsidRPr="00000000" w14:paraId="000001C9">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w:t>
        <w:tab/>
        <w:t xml:space="preserve">o art. 17; </w:t>
      </w:r>
    </w:p>
    <w:p w:rsidR="00000000" w:rsidDel="00000000" w:rsidP="00000000" w:rsidRDefault="00000000" w:rsidRPr="00000000" w14:paraId="000001CA">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w:t>
        <w:tab/>
        <w:t xml:space="preserve">o art. 20;</w:t>
      </w:r>
    </w:p>
    <w:p w:rsidR="00000000" w:rsidDel="00000000" w:rsidP="00000000" w:rsidRDefault="00000000" w:rsidRPr="00000000" w14:paraId="000001CB">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w:t>
        <w:tab/>
        <w:t xml:space="preserve">o art. 21;</w:t>
      </w:r>
    </w:p>
    <w:p w:rsidR="00000000" w:rsidDel="00000000" w:rsidP="00000000" w:rsidRDefault="00000000" w:rsidRPr="00000000" w14:paraId="000001CC">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w:t>
        <w:tab/>
        <w:t xml:space="preserve">o art. 25;</w:t>
      </w:r>
    </w:p>
    <w:p w:rsidR="00000000" w:rsidDel="00000000" w:rsidP="00000000" w:rsidRDefault="00000000" w:rsidRPr="00000000" w14:paraId="000001CD">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w:t>
        <w:tab/>
        <w:t xml:space="preserve">o art. 26;</w:t>
      </w:r>
    </w:p>
    <w:p w:rsidR="00000000" w:rsidDel="00000000" w:rsidP="00000000" w:rsidRDefault="00000000" w:rsidRPr="00000000" w14:paraId="000001CE">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w:t>
        <w:tab/>
        <w:t xml:space="preserve">o art. 30;</w:t>
      </w:r>
    </w:p>
    <w:p w:rsidR="00000000" w:rsidDel="00000000" w:rsidP="00000000" w:rsidRDefault="00000000" w:rsidRPr="00000000" w14:paraId="000001CF">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 </w:t>
        <w:tab/>
        <w:t xml:space="preserve">o art. 31;</w:t>
      </w:r>
    </w:p>
    <w:p w:rsidR="00000000" w:rsidDel="00000000" w:rsidP="00000000" w:rsidRDefault="00000000" w:rsidRPr="00000000" w14:paraId="000001D0">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w:t>
        <w:tab/>
        <w:t xml:space="preserve">o art. 32;</w:t>
      </w:r>
    </w:p>
    <w:p w:rsidR="00000000" w:rsidDel="00000000" w:rsidP="00000000" w:rsidRDefault="00000000" w:rsidRPr="00000000" w14:paraId="000001D1">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w:t>
        <w:tab/>
        <w:t xml:space="preserve">o art. 33;</w:t>
      </w:r>
    </w:p>
    <w:p w:rsidR="00000000" w:rsidDel="00000000" w:rsidP="00000000" w:rsidRDefault="00000000" w:rsidRPr="00000000" w14:paraId="000001D2">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w:t>
        <w:tab/>
        <w:t xml:space="preserve">o art. 34;</w:t>
      </w:r>
    </w:p>
    <w:p w:rsidR="00000000" w:rsidDel="00000000" w:rsidP="00000000" w:rsidRDefault="00000000" w:rsidRPr="00000000" w14:paraId="000001D3">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w:t>
        <w:tab/>
        <w:t xml:space="preserve">o inciso II do art. 40;</w:t>
      </w:r>
    </w:p>
    <w:p w:rsidR="00000000" w:rsidDel="00000000" w:rsidP="00000000" w:rsidRDefault="00000000" w:rsidRPr="00000000" w14:paraId="000001D4">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w:t>
        <w:tab/>
        <w:t xml:space="preserve">o art. 53</w:t>
      </w:r>
    </w:p>
    <w:p w:rsidR="00000000" w:rsidDel="00000000" w:rsidP="00000000" w:rsidRDefault="00000000" w:rsidRPr="00000000" w14:paraId="000001D5">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w:t>
        <w:tab/>
        <w:t xml:space="preserve">o art. 54;</w:t>
      </w:r>
    </w:p>
    <w:p w:rsidR="00000000" w:rsidDel="00000000" w:rsidP="00000000" w:rsidRDefault="00000000" w:rsidRPr="00000000" w14:paraId="000001D6">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 </w:t>
        <w:tab/>
        <w:t xml:space="preserve">o art. 56;</w:t>
      </w:r>
    </w:p>
    <w:p w:rsidR="00000000" w:rsidDel="00000000" w:rsidP="00000000" w:rsidRDefault="00000000" w:rsidRPr="00000000" w14:paraId="000001D7">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w:t>
        <w:tab/>
        <w:t xml:space="preserve">o art. 141;</w:t>
      </w:r>
    </w:p>
    <w:p w:rsidR="00000000" w:rsidDel="00000000" w:rsidP="00000000" w:rsidRDefault="00000000" w:rsidRPr="00000000" w14:paraId="000001D8">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w:t>
        <w:tab/>
        <w:t xml:space="preserve">o art. 160;</w:t>
      </w:r>
    </w:p>
    <w:p w:rsidR="00000000" w:rsidDel="00000000" w:rsidP="00000000" w:rsidRDefault="00000000" w:rsidRPr="00000000" w14:paraId="000001D9">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w:t>
        <w:tab/>
        <w:t xml:space="preserve">os §§ 1º e 2º do art. 227;</w:t>
      </w:r>
    </w:p>
    <w:p w:rsidR="00000000" w:rsidDel="00000000" w:rsidP="00000000" w:rsidRDefault="00000000" w:rsidRPr="00000000" w14:paraId="000001DA">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w:t>
        <w:tab/>
        <w:t xml:space="preserve">o art. 319;</w:t>
      </w:r>
    </w:p>
    <w:p w:rsidR="00000000" w:rsidDel="00000000" w:rsidP="00000000" w:rsidRDefault="00000000" w:rsidRPr="00000000" w14:paraId="000001DB">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 </w:t>
        <w:tab/>
        <w:t xml:space="preserve">o parágrafo único do art. 415 </w:t>
      </w:r>
    </w:p>
    <w:p w:rsidR="00000000" w:rsidDel="00000000" w:rsidP="00000000" w:rsidRDefault="00000000" w:rsidRPr="00000000" w14:paraId="000001DC">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w:t>
        <w:tab/>
        <w:t xml:space="preserve">o art. 417;</w:t>
      </w:r>
    </w:p>
    <w:p w:rsidR="00000000" w:rsidDel="00000000" w:rsidP="00000000" w:rsidRDefault="00000000" w:rsidRPr="00000000" w14:paraId="000001DD">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w:t>
        <w:tab/>
        <w:t xml:space="preserve">o art. 419;</w:t>
      </w:r>
    </w:p>
    <w:p w:rsidR="00000000" w:rsidDel="00000000" w:rsidP="00000000" w:rsidRDefault="00000000" w:rsidRPr="00000000" w14:paraId="000001DE">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w:t>
        <w:tab/>
        <w:t xml:space="preserve">o art. 420;</w:t>
      </w:r>
    </w:p>
    <w:p w:rsidR="00000000" w:rsidDel="00000000" w:rsidP="00000000" w:rsidRDefault="00000000" w:rsidRPr="00000000" w14:paraId="000001DF">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w:t>
        <w:tab/>
        <w:t xml:space="preserve">o art. 421;</w:t>
      </w:r>
    </w:p>
    <w:p w:rsidR="00000000" w:rsidDel="00000000" w:rsidP="00000000" w:rsidRDefault="00000000" w:rsidRPr="00000000" w14:paraId="000001E0">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 </w:t>
        <w:tab/>
        <w:t xml:space="preserve">o art. 422; e</w:t>
      </w:r>
    </w:p>
    <w:p w:rsidR="00000000" w:rsidDel="00000000" w:rsidP="00000000" w:rsidRDefault="00000000" w:rsidRPr="00000000" w14:paraId="000001E1">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z)</w:t>
        <w:tab/>
        <w:t xml:space="preserve">o art. 633; </w:t>
      </w:r>
    </w:p>
    <w:p w:rsidR="00000000" w:rsidDel="00000000" w:rsidP="00000000" w:rsidRDefault="00000000" w:rsidRPr="00000000" w14:paraId="000001E2">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 – os seguintes dispositivos da Lei nº 10.101 de 19 de dezembro de 2000:</w:t>
      </w:r>
    </w:p>
    <w:p w:rsidR="00000000" w:rsidDel="00000000" w:rsidP="00000000" w:rsidRDefault="00000000" w:rsidRPr="00000000" w14:paraId="000001E3">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w:t>
        <w:tab/>
        <w:t xml:space="preserve">o art. 6º;</w:t>
      </w:r>
    </w:p>
    <w:p w:rsidR="00000000" w:rsidDel="00000000" w:rsidP="00000000" w:rsidRDefault="00000000" w:rsidRPr="00000000" w14:paraId="000001E4">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w:t>
        <w:tab/>
        <w:t xml:space="preserve">o art. 6º-A;</w:t>
      </w:r>
    </w:p>
    <w:p w:rsidR="00000000" w:rsidDel="00000000" w:rsidP="00000000" w:rsidRDefault="00000000" w:rsidRPr="00000000" w14:paraId="000001E5">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w:t>
        <w:tab/>
        <w:t xml:space="preserve">o art. 6º-B;d)</w:t>
        <w:tab/>
      </w:r>
    </w:p>
    <w:p w:rsidR="00000000" w:rsidDel="00000000" w:rsidP="00000000" w:rsidRDefault="00000000" w:rsidRPr="00000000" w14:paraId="000001E6">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VII – os seguintes dispositivos da Lei nº 605, de 5 de janeiro de 1949:</w:t>
      </w:r>
    </w:p>
    <w:p w:rsidR="00000000" w:rsidDel="00000000" w:rsidP="00000000" w:rsidRDefault="00000000" w:rsidRPr="00000000" w14:paraId="000001E7">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w:t>
        <w:tab/>
        <w:t xml:space="preserve">o art. 8º;</w:t>
      </w:r>
    </w:p>
    <w:p w:rsidR="00000000" w:rsidDel="00000000" w:rsidP="00000000" w:rsidRDefault="00000000" w:rsidRPr="00000000" w14:paraId="000001E8">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w:t>
        <w:tab/>
        <w:t xml:space="preserve">o art. 9º;</w:t>
      </w:r>
    </w:p>
    <w:p w:rsidR="00000000" w:rsidDel="00000000" w:rsidP="00000000" w:rsidRDefault="00000000" w:rsidRPr="00000000" w14:paraId="000001E9">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w:t>
        <w:tab/>
        <w:t xml:space="preserve">o art. 10.</w:t>
      </w:r>
    </w:p>
    <w:p w:rsidR="00000000" w:rsidDel="00000000" w:rsidP="00000000" w:rsidRDefault="00000000" w:rsidRPr="00000000" w14:paraId="000001EA">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VIII – os seguintes dispositivos da Lei nº 8.934, de 18 de novembro de 1994: </w:t>
      </w:r>
    </w:p>
    <w:p w:rsidR="00000000" w:rsidDel="00000000" w:rsidP="00000000" w:rsidRDefault="00000000" w:rsidRPr="00000000" w14:paraId="000001EB">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parágrafo único do art. 2º; </w:t>
      </w:r>
    </w:p>
    <w:p w:rsidR="00000000" w:rsidDel="00000000" w:rsidP="00000000" w:rsidRDefault="00000000" w:rsidRPr="00000000" w14:paraId="000001EC">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inciso VIII do caput art. 35; </w:t>
      </w:r>
    </w:p>
    <w:p w:rsidR="00000000" w:rsidDel="00000000" w:rsidP="00000000" w:rsidRDefault="00000000" w:rsidRPr="00000000" w14:paraId="000001ED">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art. 43; e </w:t>
      </w:r>
    </w:p>
    <w:p w:rsidR="00000000" w:rsidDel="00000000" w:rsidP="00000000" w:rsidRDefault="00000000" w:rsidRPr="00000000" w14:paraId="000001EE">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 parágrafo único do art. 47. </w:t>
      </w:r>
    </w:p>
    <w:p w:rsidR="00000000" w:rsidDel="00000000" w:rsidP="00000000" w:rsidRDefault="00000000" w:rsidRPr="00000000" w14:paraId="000001EF">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IX – a Lei nº 4.178, de 11 de dezembro de 1962.</w:t>
      </w:r>
    </w:p>
    <w:p w:rsidR="00000000" w:rsidDel="00000000" w:rsidP="00000000" w:rsidRDefault="00000000" w:rsidRPr="00000000" w14:paraId="000001F0">
      <w:pPr>
        <w:spacing w:after="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1">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20.  Esta Lei entra em vigor na data de sua publicação</w:t>
      </w:r>
    </w:p>
    <w:p w:rsidR="00000000" w:rsidDel="00000000" w:rsidP="00000000" w:rsidRDefault="00000000" w:rsidRPr="00000000" w14:paraId="000001F2">
      <w:pPr>
        <w:spacing w:after="120" w:line="240" w:lineRule="auto"/>
        <w:jc w:val="both"/>
        <w:rPr>
          <w:rFonts w:ascii="Arial" w:cs="Arial" w:eastAsia="Arial" w:hAnsi="Arial"/>
          <w:sz w:val="24"/>
          <w:szCs w:val="24"/>
        </w:rPr>
      </w:pPr>
      <w:r w:rsidDel="00000000" w:rsidR="00000000" w:rsidRPr="00000000">
        <w:rPr>
          <w:rtl w:val="0"/>
        </w:rPr>
      </w:r>
    </w:p>
    <w:sectPr>
      <w:pgSz w:h="16838" w:w="11906"/>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Bold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F4099"/>
    <w:rPr>
      <w:lang w:eastAsia="en-US"/>
    </w:rPr>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elacomgrade">
    <w:name w:val="Table Grid"/>
    <w:basedOn w:val="Tabelanormal"/>
    <w:uiPriority w:val="99"/>
    <w:rsid w:val="006E1842"/>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customStyle="1">
    <w:name w:val="Table Paragraph"/>
    <w:basedOn w:val="Normal"/>
    <w:uiPriority w:val="99"/>
    <w:rsid w:val="006E1842"/>
    <w:pPr>
      <w:widowControl w:val="0"/>
      <w:autoSpaceDE w:val="0"/>
      <w:autoSpaceDN w:val="0"/>
      <w:spacing w:after="0" w:line="240" w:lineRule="auto"/>
    </w:pPr>
    <w:rPr>
      <w:rFonts w:ascii="Arial" w:cs="Arial" w:hAnsi="Arial"/>
      <w:lang w:eastAsia="pt-BR"/>
    </w:rPr>
  </w:style>
  <w:style w:type="paragraph" w:styleId="Textodebalo">
    <w:name w:val="Balloon Text"/>
    <w:basedOn w:val="Normal"/>
    <w:link w:val="TextodebaloChar"/>
    <w:uiPriority w:val="99"/>
    <w:semiHidden w:val="1"/>
    <w:rsid w:val="00C0083F"/>
    <w:rPr>
      <w:rFonts w:ascii="Tahoma" w:cs="Tahoma" w:hAnsi="Tahoma"/>
      <w:sz w:val="16"/>
      <w:szCs w:val="16"/>
    </w:rPr>
  </w:style>
  <w:style w:type="character" w:styleId="TextodebaloChar" w:customStyle="1">
    <w:name w:val="Texto de balão Char"/>
    <w:basedOn w:val="Fontepargpadro"/>
    <w:link w:val="Textodebalo"/>
    <w:uiPriority w:val="99"/>
    <w:semiHidden w:val="1"/>
    <w:rsid w:val="00E868AA"/>
    <w:rPr>
      <w:rFonts w:ascii="Times New Roman" w:hAnsi="Times New Roman"/>
      <w:sz w:val="0"/>
      <w:szCs w:val="0"/>
      <w:lang w:eastAsia="en-US"/>
    </w:rPr>
  </w:style>
  <w:style w:type="table" w:styleId="Tabelaclssica1">
    <w:name w:val="Table Classic 1"/>
    <w:basedOn w:val="Tabelanormal"/>
    <w:uiPriority w:val="99"/>
    <w:rsid w:val="006F386B"/>
    <w:rPr>
      <w:rFonts w:eastAsia="Times New Roman"/>
      <w:sz w:val="20"/>
      <w:szCs w:val="20"/>
    </w:rPr>
    <w:tblPr>
      <w:tblBorders>
        <w:top w:color="000000" w:space="0" w:sz="12" w:val="single"/>
        <w:bottom w:color="000000" w:space="0" w:sz="12" w:val="single"/>
      </w:tblBorders>
    </w:tblPr>
    <w:tblStylePr w:type="firstRow">
      <w:tblPr/>
      <w:tcPr>
        <w:tcBorders>
          <w:bottom w:color="000000" w:space="0" w:sz="6" w:val="single"/>
          <w:tl2br w:color="auto" w:space="0" w:sz="0" w:val="none"/>
          <w:tr2bl w:color="auto" w:space="0" w:sz="0" w:val="none"/>
        </w:tcBorders>
      </w:tcPr>
    </w:tblStylePr>
    <w:tblStylePr w:type="lastRow">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tblPr/>
      <w:tcPr>
        <w:tcBorders>
          <w:tl2br w:color="auto" w:space="0" w:sz="0" w:val="none"/>
          <w:tr2bl w:color="auto" w:space="0" w:sz="0" w:val="none"/>
        </w:tcBorders>
      </w:tcPr>
    </w:tblStylePr>
    <w:tblStylePr w:type="swCell">
      <w:tblPr/>
      <w:tcPr>
        <w:tcBorders>
          <w:tl2br w:color="auto" w:space="0" w:sz="0" w:val="none"/>
          <w:tr2bl w:color="auto" w:space="0" w:sz="0" w:val="none"/>
        </w:tcBorders>
      </w:tcPr>
    </w:tblStylePr>
  </w:style>
  <w:style w:type="paragraph" w:styleId="Normal1" w:customStyle="1">
    <w:name w:val="Normal1"/>
    <w:uiPriority w:val="99"/>
    <w:rsid w:val="006F386B"/>
    <w:rPr>
      <w:rFonts w:ascii="Times New Roman" w:hAnsi="Times New Roman"/>
      <w:sz w:val="20"/>
      <w:szCs w:val="20"/>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lanalto.gov.br/ccivil_03/Constituicao/Constituicao.htm#art170%C2%A71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2019-08-09T20:13:00Z</dcterms:created>
  <dc:creator>Ministerio da Economia</dc:creator>
</cp:coreProperties>
</file>