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54BE7" w:rsidRPr="0056517E" w:rsidRDefault="008347BC">
      <w:pPr>
        <w:pStyle w:val="Ttulo"/>
        <w:jc w:val="center"/>
        <w:rPr>
          <w:sz w:val="48"/>
          <w:szCs w:val="48"/>
          <w:lang w:val="pt-BR"/>
        </w:rPr>
      </w:pPr>
      <w:bookmarkStart w:id="0" w:name="_56wewr2io4go" w:colFirst="0" w:colLast="0"/>
      <w:bookmarkEnd w:id="0"/>
      <w:r w:rsidRPr="0056517E">
        <w:rPr>
          <w:sz w:val="48"/>
          <w:szCs w:val="48"/>
          <w:lang w:val="pt-BR"/>
        </w:rPr>
        <w:t>Nota Técnica sobre o PL 2630/2020</w:t>
      </w:r>
    </w:p>
    <w:p w14:paraId="00000002" w14:textId="77777777" w:rsidR="00554BE7" w:rsidRPr="0056517E" w:rsidRDefault="008347BC">
      <w:pPr>
        <w:pStyle w:val="Subttulo"/>
        <w:jc w:val="center"/>
        <w:rPr>
          <w:sz w:val="22"/>
          <w:szCs w:val="22"/>
          <w:lang w:val="pt-BR"/>
        </w:rPr>
      </w:pPr>
      <w:bookmarkStart w:id="1" w:name="_g9b7alcug4m3" w:colFirst="0" w:colLast="0"/>
      <w:bookmarkEnd w:id="1"/>
      <w:r w:rsidRPr="0056517E">
        <w:rPr>
          <w:sz w:val="22"/>
          <w:szCs w:val="22"/>
          <w:lang w:val="pt-BR"/>
        </w:rPr>
        <w:t>Sen. Alessandro Vieira (Cidadania/SE)</w:t>
      </w:r>
    </w:p>
    <w:p w14:paraId="00000003" w14:textId="77777777" w:rsidR="00554BE7" w:rsidRDefault="008347BC">
      <w:pPr>
        <w:jc w:val="both"/>
      </w:pPr>
      <w:r w:rsidRPr="0056517E">
        <w:rPr>
          <w:lang w:val="pt-BR"/>
        </w:rPr>
        <w:t xml:space="preserve">O </w:t>
      </w:r>
      <w:hyperlink r:id="rId7">
        <w:r w:rsidRPr="0056517E">
          <w:rPr>
            <w:color w:val="1155CC"/>
            <w:u w:val="single"/>
            <w:lang w:val="pt-BR"/>
          </w:rPr>
          <w:t>PL 2630/2020</w:t>
        </w:r>
      </w:hyperlink>
      <w:r w:rsidRPr="0056517E">
        <w:rPr>
          <w:lang w:val="pt-BR"/>
        </w:rPr>
        <w:t xml:space="preserve"> institui a Lei Brasileira de Liberdade, Responsabilidade e Transparência na Internet, impondo obrigações a provedores de aplicação, incluindo aplicações de mensageria, sob severas penas, inclusive bloqueio. Trata-se de segunda versão do PL 1358/2020, reti</w:t>
      </w:r>
      <w:r w:rsidRPr="0056517E">
        <w:rPr>
          <w:lang w:val="pt-BR"/>
        </w:rPr>
        <w:t xml:space="preserve">rado a pedido do autor, agora reproduzindo o texto em </w:t>
      </w:r>
      <w:hyperlink r:id="rId8">
        <w:r w:rsidRPr="0056517E">
          <w:rPr>
            <w:color w:val="1155CC"/>
            <w:u w:val="single"/>
            <w:lang w:val="pt-BR"/>
          </w:rPr>
          <w:t>consulta pública</w:t>
        </w:r>
      </w:hyperlink>
      <w:r w:rsidRPr="0056517E">
        <w:rPr>
          <w:lang w:val="pt-BR"/>
        </w:rPr>
        <w:t xml:space="preserve"> do </w:t>
      </w:r>
      <w:hyperlink r:id="rId9">
        <w:r w:rsidRPr="0056517E">
          <w:rPr>
            <w:color w:val="1155CC"/>
            <w:u w:val="single"/>
            <w:lang w:val="pt-BR"/>
          </w:rPr>
          <w:t>PL 1429/2020</w:t>
        </w:r>
      </w:hyperlink>
      <w:r w:rsidRPr="0056517E">
        <w:rPr>
          <w:lang w:val="pt-BR"/>
        </w:rPr>
        <w:t xml:space="preserve">, proposto na Câmara pelos dep. </w:t>
      </w:r>
      <w:r>
        <w:t>Felipe Rigoni e Tabata Amaral.</w:t>
      </w:r>
    </w:p>
    <w:p w14:paraId="00000004" w14:textId="77777777" w:rsidR="00554BE7" w:rsidRDefault="008347BC">
      <w:pPr>
        <w:pStyle w:val="Ttulo2"/>
        <w:jc w:val="both"/>
        <w:rPr>
          <w:sz w:val="28"/>
          <w:szCs w:val="28"/>
        </w:rPr>
      </w:pPr>
      <w:bookmarkStart w:id="2" w:name="_kipyzwsh8i35" w:colFirst="0" w:colLast="0"/>
      <w:bookmarkEnd w:id="2"/>
      <w:r>
        <w:rPr>
          <w:b/>
          <w:sz w:val="22"/>
          <w:szCs w:val="22"/>
        </w:rPr>
        <w:t>Resumo</w:t>
      </w:r>
    </w:p>
    <w:p w14:paraId="00000005" w14:textId="77777777" w:rsidR="00554BE7" w:rsidRDefault="00554BE7">
      <w:pPr>
        <w:jc w:val="both"/>
      </w:pPr>
    </w:p>
    <w:p w14:paraId="00000006" w14:textId="77777777" w:rsidR="00554BE7" w:rsidRPr="0056517E" w:rsidRDefault="008347BC">
      <w:pPr>
        <w:numPr>
          <w:ilvl w:val="0"/>
          <w:numId w:val="6"/>
        </w:numPr>
        <w:jc w:val="both"/>
        <w:rPr>
          <w:lang w:val="pt-BR"/>
        </w:rPr>
      </w:pPr>
      <w:r w:rsidRPr="0056517E">
        <w:rPr>
          <w:lang w:val="pt-BR"/>
        </w:rPr>
        <w:t xml:space="preserve">O PL 2630/2020 </w:t>
      </w:r>
      <w:r w:rsidRPr="0056517E">
        <w:rPr>
          <w:b/>
          <w:lang w:val="pt-BR"/>
        </w:rPr>
        <w:t>subverte o regime de responsabilidade do Marco Civil da Internet</w:t>
      </w:r>
      <w:r w:rsidRPr="0056517E">
        <w:rPr>
          <w:lang w:val="pt-BR"/>
        </w:rPr>
        <w:t xml:space="preserve"> – consagrado em 2014 após amplo e </w:t>
      </w:r>
      <w:r w:rsidRPr="0056517E">
        <w:rPr>
          <w:lang w:val="pt-BR"/>
        </w:rPr>
        <w:t xml:space="preserve">participativo debate com os mais diversos setores – ao trazer em seu </w:t>
      </w:r>
      <w:r w:rsidRPr="0056517E">
        <w:rPr>
          <w:b/>
          <w:highlight w:val="yellow"/>
          <w:lang w:val="pt-BR"/>
        </w:rPr>
        <w:t>Capítulo II (arts. 5º - 18)</w:t>
      </w:r>
      <w:r w:rsidRPr="0056517E">
        <w:rPr>
          <w:b/>
          <w:lang w:val="pt-BR"/>
        </w:rPr>
        <w:t xml:space="preserve"> </w:t>
      </w:r>
      <w:r w:rsidRPr="0056517E">
        <w:rPr>
          <w:lang w:val="pt-BR"/>
        </w:rPr>
        <w:t xml:space="preserve">um novo regime de responsabilidade dos provedores de aplicação no combate à desinformação. </w:t>
      </w:r>
    </w:p>
    <w:p w14:paraId="00000007" w14:textId="77777777" w:rsidR="00554BE7" w:rsidRPr="0056517E" w:rsidRDefault="008347BC">
      <w:pPr>
        <w:numPr>
          <w:ilvl w:val="0"/>
          <w:numId w:val="6"/>
        </w:numPr>
        <w:jc w:val="both"/>
        <w:rPr>
          <w:lang w:val="pt-BR"/>
        </w:rPr>
      </w:pPr>
      <w:r w:rsidRPr="0056517E">
        <w:rPr>
          <w:lang w:val="pt-BR"/>
        </w:rPr>
        <w:t xml:space="preserve">Apesar de não impor expressamente remoção, seus </w:t>
      </w:r>
      <w:r w:rsidRPr="0056517E">
        <w:rPr>
          <w:b/>
          <w:lang w:val="pt-BR"/>
        </w:rPr>
        <w:t>deveres genéricos</w:t>
      </w:r>
      <w:r w:rsidRPr="0056517E">
        <w:rPr>
          <w:lang w:val="pt-BR"/>
        </w:rPr>
        <w:t xml:space="preserve"> (</w:t>
      </w:r>
      <w:r w:rsidRPr="0056517E">
        <w:rPr>
          <w:lang w:val="pt-BR"/>
        </w:rPr>
        <w:t xml:space="preserve">como os elencados no </w:t>
      </w:r>
      <w:r w:rsidRPr="0056517E">
        <w:rPr>
          <w:b/>
          <w:highlight w:val="yellow"/>
          <w:lang w:val="pt-BR"/>
        </w:rPr>
        <w:t>art. 5º</w:t>
      </w:r>
      <w:r w:rsidRPr="0056517E">
        <w:rPr>
          <w:b/>
          <w:lang w:val="pt-BR"/>
        </w:rPr>
        <w:t xml:space="preserve">, p.ex., </w:t>
      </w:r>
      <w:r w:rsidRPr="0056517E">
        <w:rPr>
          <w:lang w:val="pt-BR"/>
        </w:rPr>
        <w:t xml:space="preserve">a vedação a "disseminadores artificiais" contida no </w:t>
      </w:r>
      <w:r w:rsidRPr="0056517E">
        <w:rPr>
          <w:b/>
          <w:highlight w:val="yellow"/>
          <w:lang w:val="pt-BR"/>
        </w:rPr>
        <w:t>inciso III</w:t>
      </w:r>
      <w:r w:rsidRPr="0056517E">
        <w:rPr>
          <w:lang w:val="pt-BR"/>
        </w:rPr>
        <w:t xml:space="preserve">), </w:t>
      </w:r>
      <w:r w:rsidRPr="0056517E">
        <w:rPr>
          <w:b/>
          <w:lang w:val="pt-BR"/>
        </w:rPr>
        <w:t>sanções desproporcionais</w:t>
      </w:r>
      <w:r w:rsidRPr="0056517E">
        <w:rPr>
          <w:lang w:val="pt-BR"/>
        </w:rPr>
        <w:t xml:space="preserve"> (como suspensão temporária ou proibição das atividades, </w:t>
      </w:r>
      <w:r w:rsidRPr="0056517E">
        <w:rPr>
          <w:b/>
          <w:highlight w:val="yellow"/>
          <w:lang w:val="pt-BR"/>
        </w:rPr>
        <w:t>art. 28, III e IV</w:t>
      </w:r>
      <w:r w:rsidRPr="0056517E">
        <w:rPr>
          <w:lang w:val="pt-BR"/>
        </w:rPr>
        <w:t xml:space="preserve">), </w:t>
      </w:r>
      <w:r w:rsidRPr="0056517E">
        <w:rPr>
          <w:b/>
          <w:lang w:val="pt-BR"/>
        </w:rPr>
        <w:t>conceitos amplos e vagos</w:t>
      </w:r>
      <w:r w:rsidRPr="0056517E">
        <w:rPr>
          <w:lang w:val="pt-BR"/>
        </w:rPr>
        <w:t xml:space="preserve"> (como aqueles trazidos pelo </w:t>
      </w:r>
      <w:r w:rsidRPr="0056517E">
        <w:rPr>
          <w:b/>
          <w:lang w:val="pt-BR"/>
        </w:rPr>
        <w:t>art. 4º</w:t>
      </w:r>
      <w:r w:rsidRPr="0056517E">
        <w:rPr>
          <w:lang w:val="pt-BR"/>
        </w:rPr>
        <w:t>,</w:t>
      </w:r>
      <w:r w:rsidRPr="0056517E">
        <w:rPr>
          <w:b/>
          <w:lang w:val="pt-BR"/>
        </w:rPr>
        <w:t xml:space="preserve"> </w:t>
      </w:r>
      <w:r w:rsidRPr="0056517E">
        <w:rPr>
          <w:lang w:val="pt-BR"/>
        </w:rPr>
        <w:t xml:space="preserve">p.ex., </w:t>
      </w:r>
      <w:r w:rsidRPr="0056517E">
        <w:rPr>
          <w:b/>
          <w:lang w:val="pt-BR"/>
        </w:rPr>
        <w:t>desinformação</w:t>
      </w:r>
      <w:r w:rsidRPr="0056517E">
        <w:rPr>
          <w:lang w:val="pt-BR"/>
        </w:rPr>
        <w:t xml:space="preserve">, apresentado no </w:t>
      </w:r>
      <w:r w:rsidRPr="0056517E">
        <w:rPr>
          <w:b/>
          <w:highlight w:val="yellow"/>
          <w:lang w:val="pt-BR"/>
        </w:rPr>
        <w:t>inciso II</w:t>
      </w:r>
      <w:r w:rsidRPr="0056517E">
        <w:rPr>
          <w:lang w:val="pt-BR"/>
        </w:rPr>
        <w:t xml:space="preserve">), entre outras falhas, ameaçam o direito fundamental à liberdade de expressão, que só admite restrição mediante justificado exercício de </w:t>
      </w:r>
      <w:r w:rsidRPr="0056517E">
        <w:rPr>
          <w:b/>
          <w:lang w:val="pt-BR"/>
        </w:rPr>
        <w:t>proporcionalidade</w:t>
      </w:r>
      <w:r w:rsidRPr="0056517E">
        <w:rPr>
          <w:lang w:val="pt-BR"/>
        </w:rPr>
        <w:t xml:space="preserve">. </w:t>
      </w:r>
    </w:p>
    <w:p w14:paraId="00000008" w14:textId="77777777" w:rsidR="00554BE7" w:rsidRPr="0056517E" w:rsidRDefault="008347BC">
      <w:pPr>
        <w:numPr>
          <w:ilvl w:val="0"/>
          <w:numId w:val="6"/>
        </w:numPr>
        <w:jc w:val="both"/>
        <w:rPr>
          <w:lang w:val="pt-BR"/>
        </w:rPr>
      </w:pPr>
      <w:r w:rsidRPr="0056517E">
        <w:rPr>
          <w:lang w:val="pt-BR"/>
        </w:rPr>
        <w:t>Essas falhas e ameaças se agravam pela falt</w:t>
      </w:r>
      <w:r w:rsidRPr="0056517E">
        <w:rPr>
          <w:lang w:val="pt-BR"/>
        </w:rPr>
        <w:t xml:space="preserve">a de debate e pelo </w:t>
      </w:r>
      <w:r w:rsidRPr="0056517E">
        <w:rPr>
          <w:b/>
          <w:lang w:val="pt-BR"/>
        </w:rPr>
        <w:t>contexto excepcional de pandemia</w:t>
      </w:r>
      <w:r w:rsidRPr="0056517E">
        <w:rPr>
          <w:lang w:val="pt-BR"/>
        </w:rPr>
        <w:t xml:space="preserve"> do novo coronavírus (COVID-19), no qual o Congresso opera </w:t>
      </w:r>
      <w:r w:rsidRPr="0056517E">
        <w:rPr>
          <w:b/>
          <w:lang w:val="pt-BR"/>
        </w:rPr>
        <w:t>à distância (inclusive da sociedade), em regime de “fast track” e sem comissões</w:t>
      </w:r>
      <w:r w:rsidRPr="0056517E">
        <w:rPr>
          <w:lang w:val="pt-BR"/>
        </w:rPr>
        <w:t xml:space="preserve">. </w:t>
      </w:r>
    </w:p>
    <w:p w14:paraId="00000009" w14:textId="77777777" w:rsidR="00554BE7" w:rsidRPr="0056517E" w:rsidRDefault="008347BC">
      <w:pPr>
        <w:numPr>
          <w:ilvl w:val="0"/>
          <w:numId w:val="6"/>
        </w:numPr>
        <w:jc w:val="both"/>
        <w:rPr>
          <w:lang w:val="pt-BR"/>
        </w:rPr>
      </w:pPr>
      <w:r w:rsidRPr="0056517E">
        <w:rPr>
          <w:lang w:val="pt-BR"/>
        </w:rPr>
        <w:t>E, embora sua justificativa indique preocupações quanto à pandem</w:t>
      </w:r>
      <w:r w:rsidRPr="0056517E">
        <w:rPr>
          <w:lang w:val="pt-BR"/>
        </w:rPr>
        <w:t>ia, o PL está longe de tratar de questão própria desse contexto excepcional. O PL sequer esboça uma delimitação temporal ou de escopo nesse sentido – ele vem, num apressado salto distante da sociedade, para transformar em caráter definitivo o Marco Civil d</w:t>
      </w:r>
      <w:r w:rsidRPr="0056517E">
        <w:rPr>
          <w:lang w:val="pt-BR"/>
        </w:rPr>
        <w:t>a Internet.</w:t>
      </w:r>
    </w:p>
    <w:p w14:paraId="0000000A" w14:textId="77777777" w:rsidR="00554BE7" w:rsidRPr="0056517E" w:rsidRDefault="008347BC">
      <w:pPr>
        <w:numPr>
          <w:ilvl w:val="0"/>
          <w:numId w:val="6"/>
        </w:numPr>
        <w:jc w:val="both"/>
        <w:rPr>
          <w:lang w:val="pt-BR"/>
        </w:rPr>
      </w:pPr>
      <w:r w:rsidRPr="0056517E">
        <w:rPr>
          <w:lang w:val="pt-BR"/>
        </w:rPr>
        <w:t xml:space="preserve">As medidas trazidas na proposta em questão - </w:t>
      </w:r>
      <w:r w:rsidRPr="0056517E">
        <w:rPr>
          <w:b/>
          <w:lang w:val="pt-BR"/>
        </w:rPr>
        <w:t>como restrição do discurso</w:t>
      </w:r>
      <w:r w:rsidRPr="0056517E">
        <w:rPr>
          <w:lang w:val="pt-BR"/>
        </w:rPr>
        <w:t xml:space="preserve"> - se assemelham, em tempos de COVID-19, àquelas adotadas em </w:t>
      </w:r>
      <w:r w:rsidRPr="0056517E">
        <w:rPr>
          <w:b/>
          <w:lang w:val="pt-BR"/>
        </w:rPr>
        <w:t>países pouco ou não democráticos</w:t>
      </w:r>
      <w:r w:rsidRPr="0056517E">
        <w:rPr>
          <w:lang w:val="pt-BR"/>
        </w:rPr>
        <w:t xml:space="preserve">, como Egito,  Botswana e Hungria (fonte: </w:t>
      </w:r>
      <w:hyperlink r:id="rId10">
        <w:r w:rsidRPr="0056517E">
          <w:rPr>
            <w:color w:val="1155CC"/>
            <w:u w:val="single"/>
            <w:lang w:val="pt-BR"/>
          </w:rPr>
          <w:t>Covid-19 Civic Freedom Tracker</w:t>
        </w:r>
      </w:hyperlink>
      <w:r w:rsidRPr="0056517E">
        <w:rPr>
          <w:lang w:val="pt-BR"/>
        </w:rPr>
        <w:t>).</w:t>
      </w:r>
    </w:p>
    <w:p w14:paraId="0000000B" w14:textId="77777777" w:rsidR="00554BE7" w:rsidRDefault="008347BC">
      <w:pPr>
        <w:numPr>
          <w:ilvl w:val="0"/>
          <w:numId w:val="6"/>
        </w:numPr>
        <w:jc w:val="both"/>
      </w:pPr>
      <w:r>
        <w:t>A experiência mundo afora no</w:t>
      </w:r>
      <w:r>
        <w:rPr>
          <w:b/>
        </w:rPr>
        <w:t xml:space="preserve"> tratamento da desinformação</w:t>
      </w:r>
      <w:r>
        <w:t xml:space="preserve"> antes e além da pandemia, traz duas questões: </w:t>
      </w:r>
    </w:p>
    <w:p w14:paraId="0000000C" w14:textId="77777777" w:rsidR="00554BE7" w:rsidRDefault="008347BC">
      <w:pPr>
        <w:numPr>
          <w:ilvl w:val="1"/>
          <w:numId w:val="6"/>
        </w:numPr>
        <w:jc w:val="both"/>
      </w:pPr>
      <w:r>
        <w:rPr>
          <w:b/>
        </w:rPr>
        <w:t>Poucos países regularam o tema</w:t>
      </w:r>
      <w:r>
        <w:t xml:space="preserve">, antes incentivando o debate, o estudo e outras abordagens, principalmente a partir de 2017 (fonte: </w:t>
      </w:r>
      <w:hyperlink r:id="rId11">
        <w:r>
          <w:rPr>
            <w:color w:val="1155CC"/>
            <w:u w:val="single"/>
          </w:rPr>
          <w:t>Poynter</w:t>
        </w:r>
      </w:hyperlink>
      <w:r>
        <w:t xml:space="preserve">). Nenhum país tem conclusões definitivas (fonte: </w:t>
      </w:r>
      <w:hyperlink r:id="rId12">
        <w:r>
          <w:rPr>
            <w:color w:val="1155CC"/>
            <w:u w:val="single"/>
          </w:rPr>
          <w:t>UOL</w:t>
        </w:r>
      </w:hyperlink>
      <w:r>
        <w:t>). E os poucos exemplos não são animadores:</w:t>
      </w:r>
      <w:r>
        <w:rPr>
          <w:b/>
        </w:rPr>
        <w:t xml:space="preserve"> China, Rússia, Bielorússia</w:t>
      </w:r>
      <w:r>
        <w:t xml:space="preserve">. A Malásia, que em 2018 chegou a legislar </w:t>
      </w:r>
      <w:r>
        <w:t>sobre o assunto, voltou atrás e revogou a lei. Singapura, que regulou o tema em 2019, tem visto a lei ser usada para silenciamento a pretexto de "correções".</w:t>
      </w:r>
    </w:p>
    <w:p w14:paraId="0000000D" w14:textId="77777777" w:rsidR="00554BE7" w:rsidRDefault="008347BC">
      <w:pPr>
        <w:numPr>
          <w:ilvl w:val="1"/>
          <w:numId w:val="6"/>
        </w:numPr>
        <w:jc w:val="both"/>
      </w:pPr>
      <w:r>
        <w:lastRenderedPageBreak/>
        <w:t>Opção por uma abordagem multissetorial e mais cautelosa adotada pela Europa, coerente com a comple</w:t>
      </w:r>
      <w:r>
        <w:t xml:space="preserve">xidade do fenômeno. A União Europeia construiu e implementou um </w:t>
      </w:r>
      <w:hyperlink r:id="rId13">
        <w:r>
          <w:rPr>
            <w:b/>
            <w:color w:val="1155CC"/>
            <w:u w:val="single"/>
          </w:rPr>
          <w:t>Código de Conduta sobre Desinformação</w:t>
        </w:r>
      </w:hyperlink>
      <w:r>
        <w:t>, com adesão de diversos atores e avaliação periódica. O</w:t>
      </w:r>
      <w:r>
        <w:t xml:space="preserve"> processo envolveu consultas, pesquisas, eventos, relatórios, um comitê de alto nível, conferindo legitimidade e proporcionalidade ao resultado. </w:t>
      </w:r>
    </w:p>
    <w:p w14:paraId="0000000E" w14:textId="77777777" w:rsidR="00554BE7" w:rsidRDefault="008347BC">
      <w:pPr>
        <w:numPr>
          <w:ilvl w:val="0"/>
          <w:numId w:val="6"/>
        </w:numPr>
        <w:jc w:val="both"/>
      </w:pPr>
      <w:r>
        <w:t xml:space="preserve">O PL 2630/2020 busca responder a um tema preocupante e, nessa tentativa, oferece </w:t>
      </w:r>
      <w:r>
        <w:rPr>
          <w:b/>
        </w:rPr>
        <w:t>aspectos relevantes</w:t>
      </w:r>
      <w:r>
        <w:t xml:space="preserve"> (por exem</w:t>
      </w:r>
      <w:r>
        <w:t xml:space="preserve">plo, transparência, em seus </w:t>
      </w:r>
      <w:r>
        <w:rPr>
          <w:b/>
          <w:highlight w:val="yellow"/>
        </w:rPr>
        <w:t>arts. 6º- 8º</w:t>
      </w:r>
      <w:r>
        <w:rPr>
          <w:b/>
        </w:rPr>
        <w:t xml:space="preserve"> </w:t>
      </w:r>
      <w:r>
        <w:t>e</w:t>
      </w:r>
      <w:r>
        <w:rPr>
          <w:b/>
        </w:rPr>
        <w:t xml:space="preserve"> </w:t>
      </w:r>
      <w:r>
        <w:rPr>
          <w:b/>
          <w:highlight w:val="yellow"/>
        </w:rPr>
        <w:t>arts. 19-23</w:t>
      </w:r>
      <w:r>
        <w:t xml:space="preserve">). Mas, como proposto e sem amplo debate, </w:t>
      </w:r>
      <w:r>
        <w:rPr>
          <w:b/>
        </w:rPr>
        <w:t>traz mais problemas do que soluções</w:t>
      </w:r>
      <w:r>
        <w:t>.</w:t>
      </w:r>
    </w:p>
    <w:p w14:paraId="0000000F" w14:textId="77777777" w:rsidR="00554BE7" w:rsidRDefault="008347BC">
      <w:pPr>
        <w:numPr>
          <w:ilvl w:val="0"/>
          <w:numId w:val="6"/>
        </w:numPr>
        <w:jc w:val="both"/>
      </w:pPr>
      <w:r>
        <w:rPr>
          <w:b/>
        </w:rPr>
        <w:t>Com o texto atual e o atropelo do processo em tempos de COVID-19, são sérios os riscos para a liberdade de expressão</w:t>
      </w:r>
      <w:r>
        <w:t xml:space="preserve"> e o ca</w:t>
      </w:r>
      <w:r>
        <w:t>ráter aberto e plural da internet. È fundamental a</w:t>
      </w:r>
      <w:r>
        <w:rPr>
          <w:b/>
        </w:rPr>
        <w:t xml:space="preserve"> abertura de mais espaço e mais tempo para o debate multissetorial</w:t>
      </w:r>
      <w:r>
        <w:t xml:space="preserve"> sobre tema tão complexo e cheio de nuances e fronteiras pouco nítidas com questões também importantes como opinião, discurso político, humo</w:t>
      </w:r>
      <w:r>
        <w:t xml:space="preserve">r, sátira, criação artística e intelectual. </w:t>
      </w:r>
    </w:p>
    <w:p w14:paraId="00000010" w14:textId="77777777" w:rsidR="00554BE7" w:rsidRDefault="008347BC">
      <w:pPr>
        <w:pStyle w:val="Ttulo2"/>
        <w:jc w:val="both"/>
        <w:rPr>
          <w:sz w:val="28"/>
          <w:szCs w:val="28"/>
        </w:rPr>
      </w:pPr>
      <w:bookmarkStart w:id="3" w:name="_fp2ux1udtnyz" w:colFirst="0" w:colLast="0"/>
      <w:bookmarkEnd w:id="3"/>
      <w:r>
        <w:rPr>
          <w:sz w:val="28"/>
          <w:szCs w:val="28"/>
        </w:rPr>
        <w:t>Amadurecimento e debate: principais problemas e riscos</w:t>
      </w:r>
    </w:p>
    <w:p w14:paraId="00000011" w14:textId="77777777" w:rsidR="00554BE7" w:rsidRDefault="00554BE7">
      <w:pPr>
        <w:jc w:val="both"/>
        <w:rPr>
          <w:b/>
        </w:rPr>
      </w:pPr>
    </w:p>
    <w:p w14:paraId="00000012" w14:textId="77777777" w:rsidR="00554BE7" w:rsidRDefault="008347BC">
      <w:pPr>
        <w:jc w:val="both"/>
        <w:rPr>
          <w:b/>
        </w:rPr>
      </w:pPr>
      <w:r>
        <w:rPr>
          <w:b/>
        </w:rPr>
        <w:t>Danos ao Marco Civil da Internet (MCI) e ameaça a liberdade de expressão (Art. 5º)</w:t>
      </w:r>
    </w:p>
    <w:p w14:paraId="00000013" w14:textId="77777777" w:rsidR="00554BE7" w:rsidRDefault="00554BE7">
      <w:pPr>
        <w:jc w:val="both"/>
        <w:rPr>
          <w:b/>
        </w:rPr>
      </w:pPr>
    </w:p>
    <w:p w14:paraId="00000014" w14:textId="77777777" w:rsidR="00554BE7" w:rsidRDefault="008347BC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O MCI, em especial seu art. 19, é considerado referência global, tanto </w:t>
      </w:r>
      <w:r>
        <w:rPr>
          <w:b/>
        </w:rPr>
        <w:t>por seu conteúdo como pelo modo participativo de sua construção.</w:t>
      </w:r>
    </w:p>
    <w:p w14:paraId="00000015" w14:textId="77777777" w:rsidR="00554BE7" w:rsidRDefault="008347BC">
      <w:pPr>
        <w:numPr>
          <w:ilvl w:val="0"/>
          <w:numId w:val="6"/>
        </w:numPr>
        <w:jc w:val="both"/>
      </w:pPr>
      <w:r>
        <w:t>Organismos internacionais têm reafirmado que a responsabilização por conteúdo deve se concentrar não no meio utilizado, mas na fonte do material ou mesmo no usuário final. Isso é ainda mais i</w:t>
      </w:r>
      <w:r>
        <w:t>mportante com relação a conteúdos como de desinformação, cuja caracterização é muito mais complexa.</w:t>
      </w:r>
    </w:p>
    <w:p w14:paraId="00000016" w14:textId="77777777" w:rsidR="00554BE7" w:rsidRDefault="008347BC">
      <w:pPr>
        <w:numPr>
          <w:ilvl w:val="0"/>
          <w:numId w:val="6"/>
        </w:numPr>
        <w:jc w:val="both"/>
      </w:pPr>
      <w:r>
        <w:t>O PL transfere a empresas atribuições de autoridades de aplicação da lei relativamente ao controle e monitoramento de práticas e condutas de usuários na int</w:t>
      </w:r>
      <w:r>
        <w:t>ernet. Por exemplo, ao determinar, sob penas severas, a vedação genérica (art. 5º) a "conta inautêntica" (definida de maneira amplíssima, a abarcar qualquer conta usada para disseminar desinformação) ou a "disseminadores artificiais" (também definidos vaga</w:t>
      </w:r>
      <w:r>
        <w:t xml:space="preserve">mente, alcançando todo tipo de tarefa ou recurso automatizado, como qualquer assistente virtual). </w:t>
      </w:r>
    </w:p>
    <w:p w14:paraId="00000017" w14:textId="77777777" w:rsidR="00554BE7" w:rsidRDefault="008347BC">
      <w:pPr>
        <w:numPr>
          <w:ilvl w:val="0"/>
          <w:numId w:val="6"/>
        </w:numPr>
        <w:jc w:val="both"/>
      </w:pPr>
      <w:r>
        <w:t xml:space="preserve">Esse tipo de proibição genérica pode </w:t>
      </w:r>
      <w:r>
        <w:rPr>
          <w:b/>
        </w:rPr>
        <w:t>afetar uma série de usos legítimos</w:t>
      </w:r>
      <w:r>
        <w:t xml:space="preserve">. Por exemplo, a conta de um amigo, familiar, ou de um agente público que, de boa-fé, </w:t>
      </w:r>
      <w:r>
        <w:t xml:space="preserve">pode se ver disseminando desinformação (conceito definido de forma ampla e vaga), pode ser considerada inautêntica, devendo ser vedada sob pena de sanções como suspensão ou proibição de atividades. Além disso, mesmo em toda essa amplitude </w:t>
      </w:r>
      <w:r>
        <w:rPr>
          <w:b/>
        </w:rPr>
        <w:t>o projeto pode fa</w:t>
      </w:r>
      <w:r>
        <w:rPr>
          <w:b/>
        </w:rPr>
        <w:t>lhar em coibir outro tipo</w:t>
      </w:r>
      <w:r>
        <w:t xml:space="preserve">, quiçá mais nocivo, </w:t>
      </w:r>
      <w:r>
        <w:rPr>
          <w:b/>
        </w:rPr>
        <w:t>de desinformação</w:t>
      </w:r>
      <w:r>
        <w:t xml:space="preserve"> – o uso de contas mais do que "autênticas" e de informação "correta" (ou longe de ser "inequivocamente falsa", como diz o PL) para enganar e manipular. </w:t>
      </w:r>
    </w:p>
    <w:p w14:paraId="00000018" w14:textId="77777777" w:rsidR="00554BE7" w:rsidRDefault="008347BC">
      <w:pPr>
        <w:numPr>
          <w:ilvl w:val="0"/>
          <w:numId w:val="6"/>
        </w:numPr>
        <w:jc w:val="both"/>
      </w:pPr>
      <w:r>
        <w:t>O PL, ainda que bem intencionado, fala e</w:t>
      </w:r>
      <w:r>
        <w:t xml:space="preserve">m rotular, verificar e "correções". </w:t>
      </w:r>
      <w:r>
        <w:rPr>
          <w:b/>
        </w:rPr>
        <w:t xml:space="preserve">No contexto da liberdade de expressão, mesmo esse tipo de intervenção, quando não bem </w:t>
      </w:r>
      <w:r>
        <w:rPr>
          <w:b/>
        </w:rPr>
        <w:lastRenderedPageBreak/>
        <w:t>delimitada e proporcional, pode significar eufemismo para censura</w:t>
      </w:r>
      <w:r>
        <w:t xml:space="preserve">. Além disso, agrava-se o perigo de que indivíduos e grupos capturem </w:t>
      </w:r>
      <w:r>
        <w:t>instituições defendendo que determinada modalidade de discurso, provavelmente de tom mais crítico ou satírico, deve ser "corrigida" ou mesmo proibida.</w:t>
      </w:r>
    </w:p>
    <w:p w14:paraId="00000019" w14:textId="77777777" w:rsidR="00554BE7" w:rsidRDefault="008347BC">
      <w:pPr>
        <w:numPr>
          <w:ilvl w:val="0"/>
          <w:numId w:val="6"/>
        </w:numPr>
        <w:jc w:val="both"/>
      </w:pPr>
      <w:r>
        <w:t>A exemplo da lei de Singapura, a necessidade de “correções” da informação tem dado margem a abusos e sile</w:t>
      </w:r>
      <w:r>
        <w:t>nciamento, afetando negativamente a liberdade de expressão.</w:t>
      </w:r>
    </w:p>
    <w:p w14:paraId="0000001A" w14:textId="77777777" w:rsidR="00554BE7" w:rsidRDefault="008347BC">
      <w:pPr>
        <w:numPr>
          <w:ilvl w:val="0"/>
          <w:numId w:val="6"/>
        </w:numPr>
        <w:jc w:val="both"/>
      </w:pPr>
      <w:r>
        <w:t xml:space="preserve">Outro efeito possível é a </w:t>
      </w:r>
      <w:r>
        <w:rPr>
          <w:b/>
        </w:rPr>
        <w:t>autocensura</w:t>
      </w:r>
      <w:r>
        <w:t xml:space="preserve"> no sentido inibitório ou "resfriador" sobre a autonomia opinativa, as liberdades de manifestação de pensamento crítico, de objeção do cidadão (jornalista, artista, qualquer pessoa), em especial relacionados a autoridades governamentais, agentes políticos,</w:t>
      </w:r>
      <w:r>
        <w:t xml:space="preserve"> candidatos e partidos. Esse efeito inibitório ocorre quando o manifestante do pensamento lícito, legítimo e livre deixa de materializá-lo por medo das consequências.</w:t>
      </w:r>
    </w:p>
    <w:p w14:paraId="0000001B" w14:textId="77777777" w:rsidR="00554BE7" w:rsidRDefault="008347BC">
      <w:pPr>
        <w:numPr>
          <w:ilvl w:val="0"/>
          <w:numId w:val="6"/>
        </w:numPr>
        <w:jc w:val="both"/>
      </w:pPr>
      <w:r>
        <w:t xml:space="preserve">A </w:t>
      </w:r>
      <w:r>
        <w:rPr>
          <w:b/>
        </w:rPr>
        <w:t>autocensura é maximizada</w:t>
      </w:r>
      <w:r>
        <w:t xml:space="preserve"> em relação ao usuário quando, do lado da plataforma, impõe-se </w:t>
      </w:r>
      <w:r>
        <w:t>mecanismo de identificação, etiquetamento, rotulação comunicacional, particularmente em que o contexto de expressão ou discurso seria sensível do ponto de vista político, social, econômico, cultural, religioso.</w:t>
      </w:r>
    </w:p>
    <w:p w14:paraId="0000001C" w14:textId="77777777" w:rsidR="00554BE7" w:rsidRDefault="008347BC">
      <w:pPr>
        <w:numPr>
          <w:ilvl w:val="0"/>
          <w:numId w:val="6"/>
        </w:numPr>
        <w:jc w:val="both"/>
      </w:pPr>
      <w:r>
        <w:t xml:space="preserve">E, ao tratar possíveis erros, o PL direciona </w:t>
      </w:r>
      <w:r>
        <w:t>às plataformas a análise de eventual contestação, em vez de aos próprios verificadores de fatos, como determinam as boas práticas internacionais. A verificação de fatos está sujeita a erro, como qualquer atividade, e não por acaso um dos princípios estabel</w:t>
      </w:r>
      <w:r>
        <w:t xml:space="preserve">ecidos pela Rede Internacional de Verificadores de Fatos é o compromisso de uma correção aberta e honesta sobre os eventuais erros (fonte: </w:t>
      </w:r>
      <w:hyperlink r:id="rId14">
        <w:r>
          <w:rPr>
            <w:color w:val="1155CC"/>
            <w:u w:val="single"/>
          </w:rPr>
          <w:t>IFCN</w:t>
        </w:r>
      </w:hyperlink>
      <w:r>
        <w:t xml:space="preserve">). </w:t>
      </w:r>
    </w:p>
    <w:p w14:paraId="0000001D" w14:textId="77777777" w:rsidR="00554BE7" w:rsidRDefault="008347BC">
      <w:pPr>
        <w:numPr>
          <w:ilvl w:val="0"/>
          <w:numId w:val="6"/>
        </w:numPr>
        <w:jc w:val="both"/>
      </w:pPr>
      <w:r>
        <w:t xml:space="preserve">Nesse sentido, </w:t>
      </w:r>
      <w:r>
        <w:rPr>
          <w:b/>
        </w:rPr>
        <w:t>a proposta contraria recomendações internacionais em matéria de direitos humanos e liberdade de expressão</w:t>
      </w:r>
      <w:r>
        <w:t>. Em 2018, o Relat</w:t>
      </w:r>
      <w:r>
        <w:t>or Especial para Liberdade de Expressão da ONU David Kaye, já afirmou que os Estados "</w:t>
      </w:r>
      <w:r>
        <w:rPr>
          <w:b/>
        </w:rPr>
        <w:t>devem evitar delegar responsabilidade às empresas como árbitros de conteúdo</w:t>
      </w:r>
      <w:r>
        <w:t>". E também apontou que “governos estão se movendo rapidamente na direção errada e, frequenteme</w:t>
      </w:r>
      <w:r>
        <w:t>nte, apresentam ameaças diretas à liberdade de expressão online. [...] A regulação não deve ser baseada em pontos de vista. Em vez disso, os governos devem focar seus esforços em incentivos para que empresas sejam transparentes a respeito da aplicação de s</w:t>
      </w:r>
      <w:r>
        <w:t>uas regras”.</w:t>
      </w:r>
    </w:p>
    <w:p w14:paraId="0000001E" w14:textId="77777777" w:rsidR="00554BE7" w:rsidRDefault="00554BE7">
      <w:pPr>
        <w:jc w:val="both"/>
      </w:pPr>
    </w:p>
    <w:p w14:paraId="0000001F" w14:textId="77777777" w:rsidR="00554BE7" w:rsidRDefault="008347BC">
      <w:pPr>
        <w:jc w:val="both"/>
        <w:rPr>
          <w:b/>
        </w:rPr>
      </w:pPr>
      <w:r>
        <w:rPr>
          <w:b/>
        </w:rPr>
        <w:t>Definições vagas e conceitos não definidos</w:t>
      </w:r>
      <w:r>
        <w:rPr>
          <w:b/>
          <w:vertAlign w:val="superscript"/>
        </w:rPr>
        <w:footnoteReference w:id="1"/>
      </w:r>
      <w:r>
        <w:rPr>
          <w:b/>
        </w:rPr>
        <w:t xml:space="preserve"> </w:t>
      </w:r>
    </w:p>
    <w:p w14:paraId="00000020" w14:textId="77777777" w:rsidR="00554BE7" w:rsidRDefault="00554BE7">
      <w:pPr>
        <w:jc w:val="both"/>
      </w:pPr>
    </w:p>
    <w:p w14:paraId="00000021" w14:textId="77777777" w:rsidR="00554BE7" w:rsidRDefault="008347BC">
      <w:pPr>
        <w:numPr>
          <w:ilvl w:val="0"/>
          <w:numId w:val="4"/>
        </w:numPr>
        <w:jc w:val="both"/>
      </w:pPr>
      <w:r>
        <w:t>O PL padece de imprecisão de definições, abrindo demasiado espaço para o intérprete e, assim, não apenas gera insegurança jurídica e incompatibilidade com direitos humanos, mas acaba por incentiv</w:t>
      </w:r>
      <w:r>
        <w:t>ar a vigilância e a censura privada em larga escala.</w:t>
      </w:r>
    </w:p>
    <w:p w14:paraId="00000022" w14:textId="77777777" w:rsidR="00554BE7" w:rsidRDefault="008347BC">
      <w:pPr>
        <w:numPr>
          <w:ilvl w:val="0"/>
          <w:numId w:val="4"/>
        </w:numPr>
        <w:jc w:val="both"/>
      </w:pPr>
      <w:r>
        <w:t>Além de criar uma série de deveres e definições genéricos e algumas boas práticas, o PL introduz categorias novas para o MCI, empregando ainda uma regra de tratamento discriminatório fundada em quantidad</w:t>
      </w:r>
      <w:r>
        <w:t xml:space="preserve">e arbitrada de usuários (conforme disposto no </w:t>
      </w:r>
      <w:r>
        <w:rPr>
          <w:b/>
          <w:highlight w:val="yellow"/>
        </w:rPr>
        <w:t xml:space="preserve">art. 1º, §1º </w:t>
      </w:r>
      <w:r>
        <w:t xml:space="preserve">). </w:t>
      </w:r>
    </w:p>
    <w:p w14:paraId="00000023" w14:textId="77777777" w:rsidR="00554BE7" w:rsidRDefault="008347BC">
      <w:pPr>
        <w:numPr>
          <w:ilvl w:val="0"/>
          <w:numId w:val="4"/>
        </w:numPr>
        <w:jc w:val="both"/>
      </w:pPr>
      <w:r>
        <w:lastRenderedPageBreak/>
        <w:t xml:space="preserve">E o faz justamente com </w:t>
      </w:r>
      <w:r>
        <w:rPr>
          <w:b/>
        </w:rPr>
        <w:t>conceitos vagos, perigosamente amplos</w:t>
      </w:r>
      <w:r>
        <w:t xml:space="preserve"> (como "desinformação", "conta inautêntica", "disseminadores artificiais", elencadas no </w:t>
      </w:r>
      <w:r>
        <w:rPr>
          <w:b/>
          <w:highlight w:val="yellow"/>
        </w:rPr>
        <w:t>art. 4º</w:t>
      </w:r>
      <w:r>
        <w:t xml:space="preserve">), além de ao mesmo tempo usar </w:t>
      </w:r>
      <w:r>
        <w:rPr>
          <w:b/>
        </w:rPr>
        <w:t>conceit</w:t>
      </w:r>
      <w:r>
        <w:rPr>
          <w:b/>
        </w:rPr>
        <w:t xml:space="preserve">os sem definição ou clareza </w:t>
      </w:r>
      <w:r>
        <w:t xml:space="preserve">quanto ao seu sentido e alcance (como "comportamento inautêntico" e "comportamento ilegal", conforme </w:t>
      </w:r>
      <w:r>
        <w:rPr>
          <w:b/>
          <w:highlight w:val="yellow"/>
        </w:rPr>
        <w:t xml:space="preserve">art. 5º, §3º </w:t>
      </w:r>
      <w:r>
        <w:rPr>
          <w:highlight w:val="yellow"/>
        </w:rPr>
        <w:t>e</w:t>
      </w:r>
      <w:r>
        <w:rPr>
          <w:b/>
          <w:highlight w:val="yellow"/>
        </w:rPr>
        <w:t xml:space="preserve"> art. 7º, incisos II - IV</w:t>
      </w:r>
      <w:r>
        <w:t xml:space="preserve">; anúncios "relacionados a temas sociais, eleitorais e políticos", </w:t>
      </w:r>
      <w:r>
        <w:rPr>
          <w:b/>
          <w:highlight w:val="yellow"/>
        </w:rPr>
        <w:t>art. 23</w:t>
      </w:r>
      <w:r>
        <w:t xml:space="preserve">), e </w:t>
      </w:r>
      <w:r>
        <w:rPr>
          <w:b/>
        </w:rPr>
        <w:t>diversida</w:t>
      </w:r>
      <w:r>
        <w:rPr>
          <w:b/>
        </w:rPr>
        <w:t>de inconsistente e indefinida de termos aparentemente sinônimos</w:t>
      </w:r>
      <w:r>
        <w:t>, mas que podem dar ainda mais margem a dúvidas e insegurança jurídica (como "contas" e "perfis"; "remoção" e "retirada", "rotulação" e "destaque"; "conteúdo patrocinado", "anúncios", "propagan</w:t>
      </w:r>
      <w:r>
        <w:t xml:space="preserve">da", "promoção paga", "correção"e "alteração", entre outros – cf. especialmente </w:t>
      </w:r>
      <w:r>
        <w:rPr>
          <w:b/>
          <w:highlight w:val="yellow"/>
        </w:rPr>
        <w:t>art. 7º</w:t>
      </w:r>
      <w:r>
        <w:t xml:space="preserve"> e </w:t>
      </w:r>
      <w:r>
        <w:rPr>
          <w:b/>
          <w:highlight w:val="yellow"/>
        </w:rPr>
        <w:t>art. 10</w:t>
      </w:r>
      <w:r>
        <w:t>).</w:t>
      </w:r>
    </w:p>
    <w:p w14:paraId="00000024" w14:textId="77777777" w:rsidR="00554BE7" w:rsidRDefault="008347BC">
      <w:pPr>
        <w:numPr>
          <w:ilvl w:val="0"/>
          <w:numId w:val="4"/>
        </w:numPr>
        <w:jc w:val="both"/>
      </w:pPr>
      <w:r>
        <w:t xml:space="preserve">O principal problema de imprecisão está na </w:t>
      </w:r>
      <w:r>
        <w:rPr>
          <w:b/>
        </w:rPr>
        <w:t>definição de "desinformação</w:t>
      </w:r>
      <w:r>
        <w:t>"</w:t>
      </w:r>
      <w:r>
        <w:rPr>
          <w:vertAlign w:val="superscript"/>
        </w:rPr>
        <w:footnoteReference w:id="2"/>
      </w:r>
      <w:r>
        <w:t>. De fato, os elementos que caracterizam a desinformação são tão vagos que deixam a</w:t>
      </w:r>
      <w:r>
        <w:t xml:space="preserve">o intérprete enorme margem de compreensão no caso concreto (i.e., “inequivocamente falso ou enganoso”, “fora de contexto”, “manipulado”, "com potencial de causar danos" (o que não tem o potencial de causar danos?). </w:t>
      </w:r>
    </w:p>
    <w:p w14:paraId="00000025" w14:textId="77777777" w:rsidR="00554BE7" w:rsidRDefault="008347BC">
      <w:pPr>
        <w:numPr>
          <w:ilvl w:val="0"/>
          <w:numId w:val="4"/>
        </w:numPr>
        <w:jc w:val="both"/>
      </w:pPr>
      <w:r>
        <w:t>Além disso, o conceito de "</w:t>
      </w:r>
      <w:r>
        <w:rPr>
          <w:b/>
        </w:rPr>
        <w:t>conta inautên</w:t>
      </w:r>
      <w:r>
        <w:rPr>
          <w:b/>
        </w:rPr>
        <w:t>tica</w:t>
      </w:r>
      <w:r>
        <w:t>"</w:t>
      </w:r>
      <w:r>
        <w:rPr>
          <w:vertAlign w:val="superscript"/>
        </w:rPr>
        <w:footnoteReference w:id="3"/>
      </w:r>
      <w:r>
        <w:t>, ao mesmo tempo amplíssimo, desconsidera que a conta pode ser inautêntica e não disseminar desinformação e, mais ainda, que contas autênticas podem fazê-lo, talvez com ainda maior potencial de dano. Não é a conta que é inautêntica, mas o conteúdo q</w:t>
      </w:r>
      <w:r>
        <w:t>ue pode não ser autêntico. Ainda assim, o conteúdo gerado por essa fonte pode ser verdadeiro. Pode, inclusive, ser literário, artístico, satírico, humorístico, crítico.</w:t>
      </w:r>
    </w:p>
    <w:p w14:paraId="00000026" w14:textId="77777777" w:rsidR="00554BE7" w:rsidRDefault="008347BC">
      <w:pPr>
        <w:numPr>
          <w:ilvl w:val="0"/>
          <w:numId w:val="4"/>
        </w:numPr>
        <w:jc w:val="both"/>
      </w:pPr>
      <w:r>
        <w:t>Outro problema está na vedação genérica</w:t>
      </w:r>
      <w:r>
        <w:rPr>
          <w:vertAlign w:val="superscript"/>
        </w:rPr>
        <w:footnoteReference w:id="4"/>
      </w:r>
      <w:r>
        <w:t xml:space="preserve"> a "disseminadores artificiais", definidos no </w:t>
      </w:r>
      <w:r>
        <w:rPr>
          <w:b/>
          <w:highlight w:val="yellow"/>
        </w:rPr>
        <w:t>art. 4º, V</w:t>
      </w:r>
      <w:r>
        <w:t>, de maneira a abranger qualquer programa ou recurso automatizado, por mais legítimo que seja – como na prática os casos indicam. O</w:t>
      </w:r>
      <w:r>
        <w:rPr>
          <w:b/>
          <w:u w:val="single"/>
        </w:rPr>
        <w:t xml:space="preserve"> simples uso de ferramentas automatizadas não deve ser proibido ou injustificadamente restringido</w:t>
      </w:r>
      <w:r>
        <w:t>, tampouco estigma</w:t>
      </w:r>
      <w:r>
        <w:t>tizado; ele não é e nem pode ser considerado por si só um problema. O texto proposto poderá inviabilizar o uso de soluções tecnológicas inovadoras e criativas como nos exemplos citados, ou mesmo a pesquisa acadêmica e científica que se utiliza de ferrament</w:t>
      </w:r>
      <w:r>
        <w:t>as automatizadas.</w:t>
      </w:r>
    </w:p>
    <w:p w14:paraId="00000027" w14:textId="77777777" w:rsidR="00554BE7" w:rsidRDefault="008347BC">
      <w:pPr>
        <w:numPr>
          <w:ilvl w:val="0"/>
          <w:numId w:val="4"/>
        </w:numPr>
        <w:jc w:val="both"/>
      </w:pPr>
      <w:r>
        <w:t xml:space="preserve">Um </w:t>
      </w:r>
      <w:r>
        <w:rPr>
          <w:i/>
        </w:rPr>
        <w:t>"bot"</w:t>
      </w:r>
      <w:r>
        <w:rPr>
          <w:b/>
        </w:rPr>
        <w:t xml:space="preserve"> </w:t>
      </w:r>
      <w:r>
        <w:t>(do inglês "</w:t>
      </w:r>
      <w:r>
        <w:rPr>
          <w:i/>
        </w:rPr>
        <w:t>robot</w:t>
      </w:r>
      <w:r>
        <w:t>", ou "robô") refere-se a qualquer programa ou código computacional, um conjunto de instruções que permitem a execução automatizada (e por isso, em regra, mais rápida e eficiente) de tarefas ou funções. Há inúmer</w:t>
      </w:r>
      <w:r>
        <w:t>os exemplos de usos positivos de </w:t>
      </w:r>
      <w:r>
        <w:rPr>
          <w:i/>
        </w:rPr>
        <w:t>bots</w:t>
      </w:r>
      <w:r>
        <w:t xml:space="preserve"> (</w:t>
      </w:r>
      <w:r>
        <w:rPr>
          <w:i/>
        </w:rPr>
        <w:t>bots</w:t>
      </w:r>
      <w:r>
        <w:t xml:space="preserve"> de </w:t>
      </w:r>
      <w:hyperlink r:id="rId15">
        <w:r>
          <w:rPr>
            <w:color w:val="0000FF"/>
            <w:u w:val="single"/>
          </w:rPr>
          <w:t>atendimento</w:t>
        </w:r>
      </w:hyperlink>
      <w:r>
        <w:t> ao consumidor; </w:t>
      </w:r>
      <w:r>
        <w:rPr>
          <w:i/>
        </w:rPr>
        <w:t>bots</w:t>
      </w:r>
      <w:r>
        <w:t xml:space="preserve"> para fins de maior transparência e fiscalização, como o bot do </w:t>
      </w:r>
      <w:hyperlink r:id="rId16">
        <w:r>
          <w:rPr>
            <w:color w:val="0000FF"/>
            <w:u w:val="single"/>
          </w:rPr>
          <w:t>TCU</w:t>
        </w:r>
      </w:hyperlink>
      <w:r>
        <w:t xml:space="preserve"> para varrer irregularidades, ou o projeto </w:t>
      </w:r>
      <w:hyperlink r:id="rId17">
        <w:r>
          <w:rPr>
            <w:color w:val="0000FF"/>
            <w:u w:val="single"/>
          </w:rPr>
          <w:t>Serenata de Amor</w:t>
        </w:r>
      </w:hyperlink>
      <w:r>
        <w:t>); </w:t>
      </w:r>
      <w:r>
        <w:rPr>
          <w:i/>
        </w:rPr>
        <w:t>bots</w:t>
      </w:r>
      <w:r>
        <w:t> que facilitem o dia-a-dia dos cidadãos, como o </w:t>
      </w:r>
      <w:hyperlink r:id="rId18">
        <w:r>
          <w:rPr>
            <w:color w:val="0000FF"/>
            <w:u w:val="single"/>
          </w:rPr>
          <w:t>Poupatempo</w:t>
        </w:r>
      </w:hyperlink>
      <w:r>
        <w:t> de São Paulo).</w:t>
      </w:r>
    </w:p>
    <w:p w14:paraId="00000028" w14:textId="77777777" w:rsidR="00554BE7" w:rsidRDefault="008347BC">
      <w:pPr>
        <w:numPr>
          <w:ilvl w:val="0"/>
          <w:numId w:val="4"/>
        </w:numPr>
        <w:jc w:val="both"/>
      </w:pPr>
      <w:r>
        <w:t>Co</w:t>
      </w:r>
      <w:r>
        <w:t>nteúdo patrocinado</w:t>
      </w:r>
      <w:r>
        <w:rPr>
          <w:vertAlign w:val="superscript"/>
        </w:rPr>
        <w:footnoteReference w:id="5"/>
      </w:r>
      <w:r>
        <w:t xml:space="preserve"> é considerado, no PL, aquele objeto de interação na internet em troca de “pagamento pecuniário ou valor estimável em dinheiro”. A imprecisa definição pode levar à conclusão que um café pago por alguém que recebeu apoio na internet a ou</w:t>
      </w:r>
      <w:r>
        <w:t xml:space="preserve">trem que a apoiou é forma de pagamento, sendo aquele apoio definido como tal </w:t>
      </w:r>
      <w:r>
        <w:lastRenderedPageBreak/>
        <w:t>(“conteúdo patrocinado”). Ou um pesquisador ou instituição que recebe bolsa de agências de fomento e usa uma plataforma para impulsionar a divulgação desses resultados pode se ver</w:t>
      </w:r>
      <w:r>
        <w:t xml:space="preserve"> obrigado a rotular seu conteúdo sob pena de ele ser censurado.</w:t>
      </w:r>
    </w:p>
    <w:p w14:paraId="00000029" w14:textId="77777777" w:rsidR="00554BE7" w:rsidRDefault="008347BC">
      <w:pPr>
        <w:numPr>
          <w:ilvl w:val="0"/>
          <w:numId w:val="4"/>
        </w:numPr>
        <w:jc w:val="both"/>
      </w:pPr>
      <w:r>
        <w:t xml:space="preserve">Vale alertar que, o adversário político do candidato “A”, </w:t>
      </w:r>
      <w:r>
        <w:rPr>
          <w:b/>
        </w:rPr>
        <w:t>ainda que não seja igualmente candidato</w:t>
      </w:r>
      <w:r>
        <w:t xml:space="preserve">, pode ser calado sob a acusação de disseminação de desinformação. O </w:t>
      </w:r>
      <w:r>
        <w:rPr>
          <w:b/>
          <w:highlight w:val="yellow"/>
        </w:rPr>
        <w:t>artigo 5º, IV</w:t>
      </w:r>
      <w:r>
        <w:t xml:space="preserve"> do PL determ</w:t>
      </w:r>
      <w:r>
        <w:t xml:space="preserve">ina que o provedor de aplicação deva proibir essa forma de discurso se não for rotulado como propaganda política. </w:t>
      </w:r>
    </w:p>
    <w:p w14:paraId="0000002A" w14:textId="77777777" w:rsidR="00554BE7" w:rsidRDefault="008347BC">
      <w:pPr>
        <w:numPr>
          <w:ilvl w:val="0"/>
          <w:numId w:val="4"/>
        </w:numPr>
        <w:jc w:val="both"/>
      </w:pPr>
      <w:r>
        <w:t>Outro exemplo é a expressão “verificadores de fatos independentes”, sem que se mencione quais as exatas dimensões da independência</w:t>
      </w:r>
      <w:r>
        <w:rPr>
          <w:vertAlign w:val="superscript"/>
        </w:rPr>
        <w:footnoteReference w:id="6"/>
      </w:r>
      <w:r>
        <w:t xml:space="preserve">. </w:t>
      </w:r>
    </w:p>
    <w:p w14:paraId="0000002B" w14:textId="77777777" w:rsidR="00554BE7" w:rsidRDefault="008347BC">
      <w:pPr>
        <w:numPr>
          <w:ilvl w:val="0"/>
          <w:numId w:val="4"/>
        </w:numPr>
        <w:jc w:val="both"/>
      </w:pPr>
      <w:r>
        <w:t>Em sum</w:t>
      </w:r>
      <w:r>
        <w:t xml:space="preserve">a, o PL, ao utilizar termos e expressões vagos e imprecisos, é fonte de elevada insegurança jurídica, apesar da tentativa de delimitação do </w:t>
      </w:r>
      <w:r>
        <w:rPr>
          <w:b/>
          <w:highlight w:val="yellow"/>
        </w:rPr>
        <w:t>art. 4º</w:t>
      </w:r>
      <w:r>
        <w:t xml:space="preserve">. </w:t>
      </w:r>
    </w:p>
    <w:p w14:paraId="0000002C" w14:textId="77777777" w:rsidR="00554BE7" w:rsidRDefault="00554BE7">
      <w:pPr>
        <w:jc w:val="both"/>
      </w:pPr>
    </w:p>
    <w:p w14:paraId="0000002D" w14:textId="77777777" w:rsidR="00554BE7" w:rsidRDefault="008347BC">
      <w:pPr>
        <w:jc w:val="both"/>
        <w:rPr>
          <w:b/>
        </w:rPr>
      </w:pPr>
      <w:r>
        <w:rPr>
          <w:b/>
        </w:rPr>
        <w:t>Privacidade e segurança</w:t>
      </w:r>
      <w:r>
        <w:rPr>
          <w:b/>
          <w:vertAlign w:val="superscript"/>
        </w:rPr>
        <w:footnoteReference w:id="7"/>
      </w:r>
    </w:p>
    <w:p w14:paraId="0000002E" w14:textId="77777777" w:rsidR="00554BE7" w:rsidRDefault="00554BE7">
      <w:pPr>
        <w:jc w:val="both"/>
        <w:rPr>
          <w:b/>
        </w:rPr>
      </w:pPr>
    </w:p>
    <w:p w14:paraId="0000002F" w14:textId="77777777" w:rsidR="00554BE7" w:rsidRDefault="008347BC">
      <w:pPr>
        <w:numPr>
          <w:ilvl w:val="0"/>
          <w:numId w:val="4"/>
        </w:numPr>
        <w:jc w:val="both"/>
      </w:pPr>
      <w:r>
        <w:t xml:space="preserve">O PL também impacta negativamente a privacidade e a segurança das pessoas. </w:t>
      </w:r>
    </w:p>
    <w:p w14:paraId="00000030" w14:textId="77777777" w:rsidR="00554BE7" w:rsidRDefault="008347BC">
      <w:pPr>
        <w:numPr>
          <w:ilvl w:val="0"/>
          <w:numId w:val="4"/>
        </w:numPr>
        <w:jc w:val="both"/>
      </w:pPr>
      <w:r>
        <w:t>Não apenas quando lança mão, novamente, de termos vagos e imprecisos, como a imposição de identificação de "origem dos perfis" (</w:t>
      </w:r>
      <w:r>
        <w:rPr>
          <w:b/>
          <w:highlight w:val="yellow"/>
        </w:rPr>
        <w:t>art. 6º, §1º</w:t>
      </w:r>
      <w:r>
        <w:t>), dados de localização (</w:t>
      </w:r>
      <w:r>
        <w:rPr>
          <w:b/>
          <w:highlight w:val="yellow"/>
        </w:rPr>
        <w:t>art. 6º, I e II</w:t>
      </w:r>
      <w:r>
        <w:t>) ou "dados relacionados a engajamentos ou interações" (</w:t>
      </w:r>
      <w:r>
        <w:rPr>
          <w:b/>
          <w:highlight w:val="yellow"/>
        </w:rPr>
        <w:t>art. 7º, VI</w:t>
      </w:r>
      <w:r>
        <w:t>), que pode abranger qualquer coisa e exige monitoramento amplo) – sem deixar claro o que se entende e o que alcança essa ideia de "origem", "localização", etc. E também quando exige rotula</w:t>
      </w:r>
      <w:r>
        <w:t>ções e identificação de usuários de internet, inclusive o obscuro e indefinido "primeiro usuário a publicar tal conteúdo" (</w:t>
      </w:r>
      <w:r>
        <w:rPr>
          <w:b/>
          <w:highlight w:val="yellow"/>
        </w:rPr>
        <w:t>art. 11</w:t>
      </w:r>
      <w:r>
        <w:t xml:space="preserve">). Além de expor uma pessoa, que talvez sequer tenha relação com a fabricação ou produção de um conteúdo enganoso, essa noção </w:t>
      </w:r>
      <w:r>
        <w:t>pode ser ineficaz e gerar ainda mais confusão.</w:t>
      </w:r>
    </w:p>
    <w:p w14:paraId="00000031" w14:textId="77777777" w:rsidR="00554BE7" w:rsidRDefault="008347BC">
      <w:pPr>
        <w:numPr>
          <w:ilvl w:val="0"/>
          <w:numId w:val="4"/>
        </w:numPr>
        <w:jc w:val="both"/>
      </w:pPr>
      <w:r>
        <w:t>Novamente bem-intencionado, o PL parece querer impor uma rede em que, para acessar aplicações, e principalmente, expressar sua voz, a pessoa se veja obrigada a se identificar previamente e expor seus dados pes</w:t>
      </w:r>
      <w:r>
        <w:t>soais. A (auto)censura está logo ali.</w:t>
      </w:r>
    </w:p>
    <w:p w14:paraId="00000032" w14:textId="77777777" w:rsidR="00554BE7" w:rsidRDefault="008347BC">
      <w:pPr>
        <w:numPr>
          <w:ilvl w:val="0"/>
          <w:numId w:val="4"/>
        </w:numPr>
        <w:jc w:val="both"/>
      </w:pPr>
      <w:r>
        <w:t>Também levantam preocupações de privacidade a exigência dos dados para rotulação de conteúdo pago (</w:t>
      </w:r>
      <w:r>
        <w:rPr>
          <w:b/>
          <w:highlight w:val="yellow"/>
        </w:rPr>
        <w:t>art. 20</w:t>
      </w:r>
      <w:r>
        <w:t>), apesar da vazia referência aos princípios e diretrizes da Lei Geral de Proteção de Dados Pessoais. O detalham</w:t>
      </w:r>
      <w:r>
        <w:t xml:space="preserve">ento e granularidade impostos neste dispositivo podem levar à </w:t>
      </w:r>
      <w:r>
        <w:rPr>
          <w:b/>
        </w:rPr>
        <w:t>exposição da privacidade dos cidadãos</w:t>
      </w:r>
      <w:r>
        <w:t>, inclusive de pessoas mais vulneráveis ou expostas,</w:t>
      </w:r>
      <w:r>
        <w:rPr>
          <w:b/>
        </w:rPr>
        <w:t xml:space="preserve"> como ativistas de direitos humanos</w:t>
      </w:r>
      <w:r>
        <w:t>.</w:t>
      </w:r>
    </w:p>
    <w:p w14:paraId="00000033" w14:textId="77777777" w:rsidR="00554BE7" w:rsidRDefault="008347BC">
      <w:pPr>
        <w:numPr>
          <w:ilvl w:val="0"/>
          <w:numId w:val="4"/>
        </w:numPr>
        <w:jc w:val="both"/>
      </w:pPr>
      <w:r>
        <w:t>Deve-se reconhecer a diversidade de aplicações de internet e a natur</w:t>
      </w:r>
      <w:r>
        <w:t xml:space="preserve">eza própria das </w:t>
      </w:r>
      <w:r>
        <w:rPr>
          <w:b/>
        </w:rPr>
        <w:t>aplicações de comunicação interpessoal,</w:t>
      </w:r>
      <w:r>
        <w:t xml:space="preserve"> na qual a lógica comunicacional é diferente, e se sobressai ainda mais a importância da privacidade.</w:t>
      </w:r>
    </w:p>
    <w:p w14:paraId="00000034" w14:textId="77777777" w:rsidR="00554BE7" w:rsidRDefault="008347BC">
      <w:pPr>
        <w:numPr>
          <w:ilvl w:val="0"/>
          <w:numId w:val="4"/>
        </w:numPr>
        <w:jc w:val="both"/>
      </w:pPr>
      <w:r>
        <w:t xml:space="preserve">Nesse sentido, a </w:t>
      </w:r>
      <w:r>
        <w:rPr>
          <w:b/>
          <w:highlight w:val="yellow"/>
        </w:rPr>
        <w:t>Seção IV</w:t>
      </w:r>
      <w:r>
        <w:t xml:space="preserve"> dedicada a </w:t>
      </w:r>
      <w:r>
        <w:rPr>
          <w:b/>
        </w:rPr>
        <w:t>serviços de mensageria</w:t>
      </w:r>
      <w:r>
        <w:t xml:space="preserve"> não reconhece a necessidade de se prese</w:t>
      </w:r>
      <w:r>
        <w:t xml:space="preserve">rvar ou estimular o uso de recursos como </w:t>
      </w:r>
      <w:r>
        <w:rPr>
          <w:b/>
        </w:rPr>
        <w:t>criptografia</w:t>
      </w:r>
      <w:r>
        <w:t xml:space="preserve"> de ponta a ponta, como mecanismo de segurança e de efetivação de direitos fundamentais. </w:t>
      </w:r>
    </w:p>
    <w:p w14:paraId="00000035" w14:textId="77777777" w:rsidR="00554BE7" w:rsidRDefault="008347BC">
      <w:pPr>
        <w:numPr>
          <w:ilvl w:val="0"/>
          <w:numId w:val="4"/>
        </w:numPr>
        <w:jc w:val="both"/>
      </w:pPr>
      <w:r>
        <w:t xml:space="preserve">Vale destacar que a Estratégia Nacional de Segurança da Informação (E-Ciber, estabelecida pelo Decreto 10.222/2020) recomenda amplamente a adoção de soluções de criptografia. Também o art. 46 da Lei Geral de Proteção de Dados determina o dever </w:t>
      </w:r>
      <w:r>
        <w:lastRenderedPageBreak/>
        <w:t>de adoção de</w:t>
      </w:r>
      <w:r>
        <w:t xml:space="preserve"> medidas de segurança. E o decreto que regulamenta o MCI expressamente aponta, entre as diretrizes sobre padrões de segurança, "o uso de soluções de gestão dos registros por meio de técnicas que garantam a inviolabilidade dos dados, como encriptação ou med</w:t>
      </w:r>
      <w:r>
        <w:t>idas de proteção equivalentes" (art. 13, IV).</w:t>
      </w:r>
    </w:p>
    <w:p w14:paraId="00000036" w14:textId="77777777" w:rsidR="00554BE7" w:rsidRDefault="008347BC">
      <w:pPr>
        <w:numPr>
          <w:ilvl w:val="0"/>
          <w:numId w:val="4"/>
        </w:numPr>
        <w:jc w:val="both"/>
      </w:pPr>
      <w:r>
        <w:t>Uma tentativa de desconsiderar a criptografia ou tentar enfraquecê-la, mesmo parcialmente, acaba por fragilizar a criptografia como um todo e esbarrar na legislação brasileira (que recomenda o uso de recursos c</w:t>
      </w:r>
      <w:r>
        <w:t xml:space="preserve">riptográficos). A criação de um sistema de </w:t>
      </w:r>
      <w:r>
        <w:rPr>
          <w:b/>
        </w:rPr>
        <w:t>segurança com brechas contraria seu próprio sentido de inviolabilidade</w:t>
      </w:r>
      <w:r>
        <w:t>. Enfraquecer um sistema de segurança para um ou mais usuários implica, ainda que não seja esta a intenção, enfraquecer todo o sistema de segur</w:t>
      </w:r>
      <w:r>
        <w:t xml:space="preserve">ança. </w:t>
      </w:r>
    </w:p>
    <w:p w14:paraId="00000037" w14:textId="77777777" w:rsidR="00554BE7" w:rsidRDefault="008347BC">
      <w:pPr>
        <w:numPr>
          <w:ilvl w:val="0"/>
          <w:numId w:val="4"/>
        </w:numPr>
        <w:jc w:val="both"/>
      </w:pPr>
      <w:r>
        <w:t>A mesma proteção que guarda a segurança de conversas em aplicações de mensagem que usam criptografia guardam outras operações como transações financeiras e mensagens com informações médicas, de fontes jornalísticas etc.</w:t>
      </w:r>
    </w:p>
    <w:p w14:paraId="00000038" w14:textId="77777777" w:rsidR="00554BE7" w:rsidRDefault="00554BE7">
      <w:pPr>
        <w:jc w:val="both"/>
      </w:pPr>
    </w:p>
    <w:p w14:paraId="00000039" w14:textId="77777777" w:rsidR="00554BE7" w:rsidRDefault="008347BC">
      <w:pPr>
        <w:jc w:val="both"/>
        <w:rPr>
          <w:b/>
          <w:highlight w:val="yellow"/>
        </w:rPr>
      </w:pPr>
      <w:r>
        <w:rPr>
          <w:b/>
        </w:rPr>
        <w:t>Barreiras injustificadas à l</w:t>
      </w:r>
      <w:r>
        <w:rPr>
          <w:b/>
        </w:rPr>
        <w:t>iberdade econômica e à inovação</w:t>
      </w:r>
      <w:r>
        <w:rPr>
          <w:b/>
          <w:vertAlign w:val="superscript"/>
        </w:rPr>
        <w:footnoteReference w:id="8"/>
      </w:r>
    </w:p>
    <w:p w14:paraId="0000003A" w14:textId="77777777" w:rsidR="00554BE7" w:rsidRDefault="00554BE7">
      <w:pPr>
        <w:jc w:val="both"/>
        <w:rPr>
          <w:b/>
          <w:highlight w:val="yellow"/>
        </w:rPr>
      </w:pPr>
    </w:p>
    <w:p w14:paraId="0000003B" w14:textId="77777777" w:rsidR="00554BE7" w:rsidRDefault="008347BC">
      <w:pPr>
        <w:numPr>
          <w:ilvl w:val="0"/>
          <w:numId w:val="4"/>
        </w:numPr>
        <w:jc w:val="both"/>
      </w:pPr>
      <w:r>
        <w:t>O PL cria barreiras de entrada a agentes econômicos, além de onerar excessivamente atores do mercado de internet, o que ameaça a garantia da livre iniciativa (art. 1º, IV, Constituição) e a liberdade do exercício profissi</w:t>
      </w:r>
      <w:r>
        <w:t>onal (art. 5º, XIII, Constituição).</w:t>
      </w:r>
    </w:p>
    <w:p w14:paraId="0000003C" w14:textId="77777777" w:rsidR="00554BE7" w:rsidRDefault="008347BC">
      <w:pPr>
        <w:numPr>
          <w:ilvl w:val="0"/>
          <w:numId w:val="4"/>
        </w:numPr>
        <w:jc w:val="both"/>
      </w:pPr>
      <w:r>
        <w:t>A tentativa de excluir do âmbito de aplicação da lei os provedores de serviço de rede social com “menos de dois milhões de usuários registrados” no Brasil</w:t>
      </w:r>
      <w:r>
        <w:rPr>
          <w:vertAlign w:val="superscript"/>
        </w:rPr>
        <w:footnoteReference w:id="9"/>
      </w:r>
      <w:r>
        <w:t>, indicando que a Lei seja parâmetro para boas práticas, trata o</w:t>
      </w:r>
      <w:r>
        <w:t xml:space="preserve"> problema da desinformação de maneira viesada e acaba representando barreira ou desestímulo ao crescimento e à concorrência.</w:t>
      </w:r>
    </w:p>
    <w:p w14:paraId="0000003D" w14:textId="77777777" w:rsidR="00554BE7" w:rsidRDefault="008347BC">
      <w:pPr>
        <w:numPr>
          <w:ilvl w:val="0"/>
          <w:numId w:val="4"/>
        </w:numPr>
        <w:jc w:val="both"/>
      </w:pPr>
      <w:r>
        <w:t>Ao mesmo tempo, não é garantia de minimização de dano na criação e propagação de conteúdo inautêntico, pois uma plataforma regional</w:t>
      </w:r>
      <w:r>
        <w:t xml:space="preserve">izada de 1 milhão de usuários, por exemplo, em uma localidade de 2 milhões de habitantes, tem potencial gigantesco de causar dano. </w:t>
      </w:r>
    </w:p>
    <w:p w14:paraId="0000003E" w14:textId="77777777" w:rsidR="00554BE7" w:rsidRDefault="008347BC">
      <w:pPr>
        <w:numPr>
          <w:ilvl w:val="0"/>
          <w:numId w:val="4"/>
        </w:numPr>
        <w:jc w:val="both"/>
      </w:pPr>
      <w:r>
        <w:t>A proposta de solução legislativa para monitoramento de comportamento de provedores e usuários nas plataformas, e de aplicaç</w:t>
      </w:r>
      <w:r>
        <w:t xml:space="preserve">ão de medidas que limitam exercício de direitos fundamentais, também dificulta o desenvolvimento de novos modelos de negócios na indústria de internet. Esse aspecto independe do porte de empresa ou do número de usuários que redes sociais ou aplicativos de </w:t>
      </w:r>
      <w:r>
        <w:t>mensagens possam alcançar, pois agentes econômicos tratados pela lei também estarão expostos a riscos de responsabilidade de violação de direitos de usuários e que somente poderia ser escrutinada pelos tribunais.</w:t>
      </w:r>
    </w:p>
    <w:p w14:paraId="0000003F" w14:textId="77777777" w:rsidR="00554BE7" w:rsidRDefault="00554BE7">
      <w:pPr>
        <w:jc w:val="both"/>
        <w:rPr>
          <w:b/>
        </w:rPr>
      </w:pPr>
    </w:p>
    <w:p w14:paraId="00000040" w14:textId="77777777" w:rsidR="00554BE7" w:rsidRDefault="008347BC">
      <w:pPr>
        <w:jc w:val="both"/>
        <w:rPr>
          <w:b/>
        </w:rPr>
      </w:pPr>
      <w:r>
        <w:rPr>
          <w:b/>
        </w:rPr>
        <w:t>Um giro pelo mundo: regulação sobre o tema</w:t>
      </w:r>
      <w:r>
        <w:rPr>
          <w:b/>
        </w:rPr>
        <w:t xml:space="preserve"> é escassa e dá margem a abusos</w:t>
      </w:r>
    </w:p>
    <w:p w14:paraId="00000041" w14:textId="77777777" w:rsidR="00554BE7" w:rsidRDefault="00554BE7">
      <w:pPr>
        <w:jc w:val="both"/>
        <w:rPr>
          <w:b/>
        </w:rPr>
      </w:pPr>
    </w:p>
    <w:p w14:paraId="00000042" w14:textId="77777777" w:rsidR="00554BE7" w:rsidRDefault="008347BC">
      <w:pPr>
        <w:numPr>
          <w:ilvl w:val="0"/>
          <w:numId w:val="6"/>
        </w:numPr>
        <w:jc w:val="both"/>
      </w:pPr>
      <w:r>
        <w:t xml:space="preserve">É preciso cautela com a noção de que o PL é pioneiro no mundo – esse atributo pode se revelar preocupante. São poucos os exemplos de regulação de desinformação pelo mundo. </w:t>
      </w:r>
    </w:p>
    <w:p w14:paraId="00000043" w14:textId="77777777" w:rsidR="00554BE7" w:rsidRDefault="008347BC">
      <w:pPr>
        <w:numPr>
          <w:ilvl w:val="0"/>
          <w:numId w:val="6"/>
        </w:numPr>
        <w:jc w:val="both"/>
      </w:pPr>
      <w:r>
        <w:lastRenderedPageBreak/>
        <w:t>Um exemplo a destacar é o da União Europeia, que e</w:t>
      </w:r>
      <w:r>
        <w:t xml:space="preserve">m setembro de 2018 introduziu um </w:t>
      </w:r>
      <w:r>
        <w:rPr>
          <w:b/>
        </w:rPr>
        <w:t>Código de Conduta sobre Desinformação</w:t>
      </w:r>
      <w:r>
        <w:t xml:space="preserve">, com elevada adesão e periódica avaliação. Trata-se de um modelo de </w:t>
      </w:r>
      <w:r>
        <w:rPr>
          <w:b/>
        </w:rPr>
        <w:t>autorregulação regulada</w:t>
      </w:r>
      <w:r>
        <w:t>, iniciado ainda em 2017 com eventos, consultas, pesquisas, a criação de um grupo de alto níve</w:t>
      </w:r>
      <w:r>
        <w:t xml:space="preserve">l e a divulgação de relatórios. A mesma Europa que, no âmbito de COVID-19, vem </w:t>
      </w:r>
      <w:hyperlink r:id="rId19">
        <w:r>
          <w:rPr>
            <w:color w:val="1155CC"/>
            <w:u w:val="single"/>
          </w:rPr>
          <w:t>lidando</w:t>
        </w:r>
      </w:hyperlink>
      <w:r>
        <w:t xml:space="preserve"> com a desinformação por meio do incentivo à consu</w:t>
      </w:r>
      <w:r>
        <w:t>lta de informações de fontes oficiais e da colaboração próxima com plataformas. A cooperação, o diálogo e a informação são caminhos mais efetivos e sem riscos a direitos e garantias fundamentais.</w:t>
      </w:r>
    </w:p>
    <w:p w14:paraId="00000044" w14:textId="77777777" w:rsidR="00554BE7" w:rsidRDefault="008347BC">
      <w:pPr>
        <w:numPr>
          <w:ilvl w:val="0"/>
          <w:numId w:val="6"/>
        </w:numPr>
        <w:jc w:val="both"/>
      </w:pPr>
      <w:r>
        <w:t xml:space="preserve">Outros exemplos relevantes: Malásia e Singapura. A </w:t>
      </w:r>
      <w:r>
        <w:rPr>
          <w:b/>
        </w:rPr>
        <w:t>Malásia</w:t>
      </w:r>
      <w:r>
        <w:t xml:space="preserve"> h</w:t>
      </w:r>
      <w:r>
        <w:t>avia, em 2018, aprovado uma "lei anti-fake news", mas</w:t>
      </w:r>
      <w:r>
        <w:rPr>
          <w:b/>
        </w:rPr>
        <w:t xml:space="preserve"> voltou atrás e revogou</w:t>
      </w:r>
      <w:r>
        <w:t xml:space="preserve"> a lei, que vinha dando margem a abusos desde seu início de vigência (fonte: </w:t>
      </w:r>
      <w:hyperlink r:id="rId20">
        <w:r>
          <w:rPr>
            <w:color w:val="1155CC"/>
            <w:u w:val="single"/>
          </w:rPr>
          <w:t>Reuters</w:t>
        </w:r>
      </w:hyperlink>
      <w:r>
        <w:t xml:space="preserve">, </w:t>
      </w:r>
      <w:hyperlink r:id="rId21">
        <w:r>
          <w:rPr>
            <w:color w:val="1155CC"/>
            <w:u w:val="single"/>
          </w:rPr>
          <w:t>Conjur</w:t>
        </w:r>
      </w:hyperlink>
      <w:r>
        <w:t>). Essa lei revogada definia desinformação tão amplamente quanto o PL 2630/2020: "notíci</w:t>
      </w:r>
      <w:r>
        <w:t>as, informações, dados e relatórios que são parcial ou totalmente falsos". Já Singapura acabou regulando o assunto em 2019 com a chamada "Lei de Proteção contra Falsidade e Manipulação Online" (POFMA), sob fortes críticas e receios da sociedade civil, acad</w:t>
      </w:r>
      <w:r>
        <w:t xml:space="preserve">emia e imprensa, que vêm apenas se confirmando na prática (fonte: </w:t>
      </w:r>
      <w:hyperlink r:id="rId22">
        <w:r>
          <w:rPr>
            <w:color w:val="1155CC"/>
            <w:u w:val="single"/>
          </w:rPr>
          <w:t>New York Times</w:t>
        </w:r>
      </w:hyperlink>
      <w:r>
        <w:t>).</w:t>
      </w:r>
    </w:p>
    <w:p w14:paraId="00000045" w14:textId="77777777" w:rsidR="00554BE7" w:rsidRDefault="00554BE7">
      <w:pPr>
        <w:jc w:val="both"/>
      </w:pPr>
    </w:p>
    <w:p w14:paraId="00000046" w14:textId="77777777" w:rsidR="00554BE7" w:rsidRDefault="008347BC">
      <w:pPr>
        <w:jc w:val="both"/>
        <w:rPr>
          <w:b/>
        </w:rPr>
      </w:pPr>
      <w:r>
        <w:rPr>
          <w:b/>
        </w:rPr>
        <w:t>Medidas vêm sendo adotadas e devem ser estimuladas: espaço para autorregulação</w:t>
      </w:r>
    </w:p>
    <w:p w14:paraId="00000047" w14:textId="77777777" w:rsidR="00554BE7" w:rsidRDefault="00554BE7">
      <w:pPr>
        <w:jc w:val="both"/>
        <w:rPr>
          <w:b/>
        </w:rPr>
      </w:pPr>
    </w:p>
    <w:p w14:paraId="00000048" w14:textId="77777777" w:rsidR="00554BE7" w:rsidRDefault="008347BC">
      <w:pPr>
        <w:numPr>
          <w:ilvl w:val="0"/>
          <w:numId w:val="4"/>
        </w:numPr>
        <w:jc w:val="both"/>
      </w:pPr>
      <w:r>
        <w:t xml:space="preserve">O PL pretende regular conteúdo online, estabelecer novas obrigações a provedores de aplicações e comportamentos de usuários de internet relativamente a redes sociais (definidas amplamente) e plataformas de mensagens. </w:t>
      </w:r>
      <w:r>
        <w:rPr>
          <w:b/>
        </w:rPr>
        <w:t>Qualquer inovação normativa em campo co</w:t>
      </w:r>
      <w:r>
        <w:rPr>
          <w:b/>
        </w:rPr>
        <w:t>mo esses requer amadurecimento, debate e estudos sobre o que já tem sido implementado</w:t>
      </w:r>
      <w:r>
        <w:t>.</w:t>
      </w:r>
      <w:r>
        <w:rPr>
          <w:highlight w:val="yellow"/>
        </w:rPr>
        <w:t xml:space="preserve"> </w:t>
      </w:r>
    </w:p>
    <w:p w14:paraId="00000049" w14:textId="77777777" w:rsidR="00554BE7" w:rsidRDefault="008347BC">
      <w:pPr>
        <w:numPr>
          <w:ilvl w:val="0"/>
          <w:numId w:val="4"/>
        </w:numPr>
        <w:jc w:val="both"/>
      </w:pPr>
      <w:r>
        <w:t xml:space="preserve">Esforços têm sido intensificados no contexto de COVID-19 e em relação a desinformação que possa causar danos à saúde pública no ambiente offline. </w:t>
      </w:r>
      <w:hyperlink r:id="rId23">
        <w:r>
          <w:rPr>
            <w:color w:val="1155CC"/>
            <w:u w:val="single"/>
          </w:rPr>
          <w:t>Estudos</w:t>
        </w:r>
      </w:hyperlink>
      <w:r>
        <w:t xml:space="preserve"> inclusive sinalizam que tem circulado mais informação que desinformação. </w:t>
      </w:r>
    </w:p>
    <w:p w14:paraId="0000004A" w14:textId="77777777" w:rsidR="00554BE7" w:rsidRDefault="008347BC">
      <w:pPr>
        <w:numPr>
          <w:ilvl w:val="0"/>
          <w:numId w:val="4"/>
        </w:numPr>
        <w:jc w:val="both"/>
      </w:pPr>
      <w:r>
        <w:t>O PL deveria reconhecer e estimular esse tipo de esforço, talv</w:t>
      </w:r>
      <w:r>
        <w:t xml:space="preserve">ez considerando </w:t>
      </w:r>
      <w:r>
        <w:rPr>
          <w:b/>
        </w:rPr>
        <w:t>estabelecer alguns princípios norteadores e algum nível de acompanhamento</w:t>
      </w:r>
      <w:r>
        <w:t>, com independência, numa espécie de autorregulação regulada, como foi a opção europeia. A intervenção legislativa nesse delicado tema, deveria ser subsidiária e mínim</w:t>
      </w:r>
      <w:r>
        <w:t xml:space="preserve">a, </w:t>
      </w:r>
      <w:r>
        <w:rPr>
          <w:b/>
        </w:rPr>
        <w:t>buscando avançar o tema da transparência e sobretudo ajudar a pavimentar o longo e necessário caminho da educação</w:t>
      </w:r>
      <w:r>
        <w:t xml:space="preserve">. </w:t>
      </w:r>
    </w:p>
    <w:p w14:paraId="0000004B" w14:textId="77777777" w:rsidR="00554BE7" w:rsidRDefault="008347BC">
      <w:pPr>
        <w:numPr>
          <w:ilvl w:val="0"/>
          <w:numId w:val="4"/>
        </w:numPr>
        <w:jc w:val="both"/>
      </w:pPr>
      <w:r>
        <w:t>O PL pode mesmo desestimular boas práticas já em curso ou que podem ser adotadas – os atores sujeitos à lei serão incentivados essencialmente a cuidar de compliance e evitar as pesadas penalidades ali previstas.</w:t>
      </w:r>
    </w:p>
    <w:p w14:paraId="0000004C" w14:textId="77777777" w:rsidR="00554BE7" w:rsidRDefault="008347BC">
      <w:pPr>
        <w:numPr>
          <w:ilvl w:val="0"/>
          <w:numId w:val="4"/>
        </w:numPr>
        <w:jc w:val="both"/>
      </w:pPr>
      <w:r>
        <w:t>Por exemplo, empresas já vêm apoiando e faze</w:t>
      </w:r>
      <w:r>
        <w:t>ndo parcerias com agências de verificação de fatos - impor este tipo de dever com sanções como "a proibição do exercício da atividade no país" a empresas menores é impor barreiras altíssimas à entrada delas no mercado: a verificação de fatos é extremamente</w:t>
      </w:r>
      <w:r>
        <w:t xml:space="preserve"> caro e há ainda uma força de trabalho muito pequena no Brasil. </w:t>
      </w:r>
    </w:p>
    <w:p w14:paraId="0000004D" w14:textId="77777777" w:rsidR="00554BE7" w:rsidRDefault="008347BC">
      <w:pPr>
        <w:numPr>
          <w:ilvl w:val="0"/>
          <w:numId w:val="4"/>
        </w:numPr>
        <w:jc w:val="both"/>
      </w:pPr>
      <w:r>
        <w:t>O tema, de alta complexidade, exige medidas mais colaborativas e eficazes, e menos fragmentadas e vagas. Nesse sentido, o próprio Marco Civil estimula, em seu art. 27, a adoção de iniciativas</w:t>
      </w:r>
      <w:r>
        <w:t xml:space="preserve"> públicas de fomento à cultura digital e de promoção da internet como </w:t>
      </w:r>
      <w:r>
        <w:lastRenderedPageBreak/>
        <w:t>ferramenta social, como a educação midiática (que desde 2018 integra a Base Nacional Curricular comum). Muitos especialistas já vêm apontando que desinformação se combate, sobretudo, com</w:t>
      </w:r>
      <w:r>
        <w:t xml:space="preserve"> mais informação, com checagem de fatos, com campanhas de conscientização, com fortalecimento do jornalismo, e com o estímulo e o desenvolvimento de uma postura mais crítica em relação às informações consumidas, tanto na internet quanto fora dela.</w:t>
      </w:r>
    </w:p>
    <w:p w14:paraId="0000004E" w14:textId="77777777" w:rsidR="00554BE7" w:rsidRDefault="008347BC">
      <w:pPr>
        <w:numPr>
          <w:ilvl w:val="0"/>
          <w:numId w:val="4"/>
        </w:numPr>
        <w:spacing w:after="240"/>
        <w:jc w:val="both"/>
      </w:pPr>
      <w:r>
        <w:t>Além dis</w:t>
      </w:r>
      <w:r>
        <w:t>so, o</w:t>
      </w:r>
      <w:r>
        <w:rPr>
          <w:b/>
        </w:rPr>
        <w:t xml:space="preserve"> </w:t>
      </w:r>
      <w:r>
        <w:rPr>
          <w:b/>
          <w:highlight w:val="yellow"/>
        </w:rPr>
        <w:t>ordenamento brasileiro já dispõe de instrumentos</w:t>
      </w:r>
      <w:r>
        <w:t xml:space="preserve"> para enfrentar o problema — é o caso do </w:t>
      </w:r>
      <w:r>
        <w:rPr>
          <w:b/>
          <w:highlight w:val="yellow"/>
        </w:rPr>
        <w:t xml:space="preserve">direito de resposta (Lei 13.188/2015), do Código Eleitoral (art. 323 e 326-A), da contrapropaganda publicitária (art. 60 do Código de Defesa do Consumidor), dos </w:t>
      </w:r>
      <w:r>
        <w:rPr>
          <w:b/>
          <w:highlight w:val="yellow"/>
        </w:rPr>
        <w:t>tipos penais referentes a crimes contra a honra ou ameaça (e, mais recentemente, as resoluções do TSE)</w:t>
      </w:r>
      <w:r>
        <w:t xml:space="preserve">. É o caso, também, da possibilidade de </w:t>
      </w:r>
      <w:r>
        <w:rPr>
          <w:b/>
          <w:highlight w:val="yellow"/>
        </w:rPr>
        <w:t>identificação do usuário</w:t>
      </w:r>
      <w:r>
        <w:t xml:space="preserve"> cujo conteúdo é identificado como infringente (por meio da guarda dos registros de conexã</w:t>
      </w:r>
      <w:r>
        <w:t>o e de acesso), já delimitada pelo Marco Civil da Internet.</w:t>
      </w:r>
    </w:p>
    <w:p w14:paraId="0000004F" w14:textId="77777777" w:rsidR="00554BE7" w:rsidRDefault="00554BE7">
      <w:pPr>
        <w:jc w:val="both"/>
        <w:rPr>
          <w:sz w:val="32"/>
          <w:szCs w:val="32"/>
        </w:rPr>
      </w:pPr>
    </w:p>
    <w:p w14:paraId="00000050" w14:textId="77777777" w:rsidR="00554BE7" w:rsidRDefault="00554BE7">
      <w:pPr>
        <w:jc w:val="both"/>
        <w:rPr>
          <w:sz w:val="32"/>
          <w:szCs w:val="32"/>
        </w:rPr>
      </w:pPr>
    </w:p>
    <w:p w14:paraId="00000051" w14:textId="77777777" w:rsidR="00554BE7" w:rsidRDefault="00554BE7">
      <w:pPr>
        <w:jc w:val="both"/>
        <w:rPr>
          <w:b/>
        </w:rPr>
      </w:pPr>
    </w:p>
    <w:p w14:paraId="00000052" w14:textId="77777777" w:rsidR="00554BE7" w:rsidRDefault="00554BE7">
      <w:pPr>
        <w:jc w:val="both"/>
        <w:rPr>
          <w:b/>
        </w:rPr>
      </w:pPr>
    </w:p>
    <w:p w14:paraId="00000053" w14:textId="77777777" w:rsidR="00554BE7" w:rsidRDefault="008347BC">
      <w:pPr>
        <w:pStyle w:val="Ttulo2"/>
        <w:jc w:val="both"/>
      </w:pPr>
      <w:bookmarkStart w:id="4" w:name="_13yqorgaqiko" w:colFirst="0" w:colLast="0"/>
      <w:bookmarkEnd w:id="4"/>
      <w:r>
        <w:br w:type="page"/>
      </w:r>
    </w:p>
    <w:p w14:paraId="00000054" w14:textId="77777777" w:rsidR="00554BE7" w:rsidRDefault="008347BC">
      <w:pPr>
        <w:pStyle w:val="Ttulo2"/>
        <w:jc w:val="both"/>
      </w:pPr>
      <w:bookmarkStart w:id="5" w:name="_70cazzrfrjv1" w:colFirst="0" w:colLast="0"/>
      <w:bookmarkEnd w:id="5"/>
      <w:r>
        <w:lastRenderedPageBreak/>
        <w:t>Referências adicionais publicamente acessíveis</w:t>
      </w:r>
    </w:p>
    <w:p w14:paraId="00000055" w14:textId="77777777" w:rsidR="00554BE7" w:rsidRDefault="008347BC">
      <w:pPr>
        <w:jc w:val="both"/>
        <w:rPr>
          <w:b/>
        </w:rPr>
      </w:pPr>
      <w:r>
        <w:rPr>
          <w:b/>
        </w:rPr>
        <w:t>Manifestações da sociedade civil e academia</w:t>
      </w:r>
      <w:r>
        <w:rPr>
          <w:b/>
        </w:rPr>
        <w:br/>
      </w:r>
    </w:p>
    <w:p w14:paraId="00000056" w14:textId="77777777" w:rsidR="00554BE7" w:rsidRDefault="008347BC">
      <w:pPr>
        <w:numPr>
          <w:ilvl w:val="0"/>
          <w:numId w:val="1"/>
        </w:numPr>
        <w:jc w:val="both"/>
      </w:pPr>
      <w:hyperlink r:id="rId24">
        <w:r>
          <w:rPr>
            <w:color w:val="1155CC"/>
            <w:u w:val="single"/>
          </w:rPr>
          <w:t>https://direitosnarede.org.br/2020/05/15/combate-a-desinformacao-requer-protecao-a-liberdade-de-expressao-e-amplo-debate-com-a-sociedade.html</w:t>
        </w:r>
      </w:hyperlink>
      <w:r>
        <w:br/>
      </w:r>
    </w:p>
    <w:p w14:paraId="00000057" w14:textId="77777777" w:rsidR="00554BE7" w:rsidRDefault="008347BC">
      <w:pPr>
        <w:numPr>
          <w:ilvl w:val="0"/>
          <w:numId w:val="1"/>
        </w:numPr>
        <w:jc w:val="both"/>
      </w:pPr>
      <w:hyperlink r:id="rId25">
        <w:r>
          <w:rPr>
            <w:color w:val="1155CC"/>
            <w:u w:val="single"/>
          </w:rPr>
          <w:t>https://www.lapin.org.br/post/nt-fake-news-rigoni</w:t>
        </w:r>
      </w:hyperlink>
      <w:r>
        <w:t xml:space="preserve"> </w:t>
      </w:r>
      <w:r>
        <w:br/>
      </w:r>
    </w:p>
    <w:p w14:paraId="00000058" w14:textId="77777777" w:rsidR="00554BE7" w:rsidRDefault="008347BC">
      <w:pPr>
        <w:numPr>
          <w:ilvl w:val="0"/>
          <w:numId w:val="1"/>
        </w:numPr>
        <w:jc w:val="both"/>
      </w:pPr>
      <w:hyperlink r:id="rId26">
        <w:r>
          <w:rPr>
            <w:color w:val="1155CC"/>
            <w:u w:val="single"/>
          </w:rPr>
          <w:t>https://www.codingrights.org/wp-content/</w:t>
        </w:r>
        <w:r>
          <w:rPr>
            <w:color w:val="1155CC"/>
            <w:u w:val="single"/>
          </w:rPr>
          <w:t>uploads/2020/05/Nota-IP.REC-e-Coding-Rights-Lei-de-Transpar%c3%aancia-na-Internet.pdf</w:t>
        </w:r>
      </w:hyperlink>
      <w:r>
        <w:br/>
      </w:r>
    </w:p>
    <w:p w14:paraId="00000059" w14:textId="77777777" w:rsidR="00554BE7" w:rsidRDefault="008347BC">
      <w:pPr>
        <w:numPr>
          <w:ilvl w:val="0"/>
          <w:numId w:val="1"/>
        </w:numPr>
        <w:jc w:val="both"/>
      </w:pPr>
      <w:hyperlink r:id="rId27">
        <w:r>
          <w:rPr>
            <w:color w:val="1155CC"/>
            <w:u w:val="single"/>
          </w:rPr>
          <w:t>https://www.nexojornal.</w:t>
        </w:r>
        <w:r>
          <w:rPr>
            <w:color w:val="1155CC"/>
            <w:u w:val="single"/>
          </w:rPr>
          <w:t>com.br/ensaio/debate/2020/Leis-para-desinforma%C3%A7%C3%A3o-exigem-mais-do-que-boas-inten%C3%A7%C3%B5es</w:t>
        </w:r>
      </w:hyperlink>
      <w:r>
        <w:br/>
      </w:r>
    </w:p>
    <w:p w14:paraId="0000005A" w14:textId="77777777" w:rsidR="00554BE7" w:rsidRDefault="008347BC">
      <w:pPr>
        <w:numPr>
          <w:ilvl w:val="0"/>
          <w:numId w:val="2"/>
        </w:numPr>
        <w:jc w:val="both"/>
      </w:pPr>
      <w:hyperlink r:id="rId28">
        <w:r>
          <w:rPr>
            <w:color w:val="1155CC"/>
            <w:u w:val="single"/>
          </w:rPr>
          <w:t>https://intervozes.org.br/publicacoes/nota-tecnica-</w:t>
        </w:r>
        <w:r>
          <w:rPr>
            <w:color w:val="1155CC"/>
            <w:u w:val="single"/>
          </w:rPr>
          <w:t>sobre-plc-desinformacao-2020/</w:t>
        </w:r>
      </w:hyperlink>
      <w:r>
        <w:t xml:space="preserve"> </w:t>
      </w:r>
      <w:r>
        <w:br/>
      </w:r>
    </w:p>
    <w:p w14:paraId="0000005B" w14:textId="77777777" w:rsidR="00554BE7" w:rsidRDefault="008347BC">
      <w:pPr>
        <w:numPr>
          <w:ilvl w:val="0"/>
          <w:numId w:val="2"/>
        </w:numPr>
        <w:jc w:val="both"/>
      </w:pPr>
      <w:hyperlink r:id="rId29">
        <w:r>
          <w:rPr>
            <w:color w:val="1155CC"/>
            <w:u w:val="single"/>
          </w:rPr>
          <w:t>https://irisbh.com.br/publicacoes/contribuicao-sobre-os-temas-que-compoem-o-pl-no-1-429-20</w:t>
        </w:r>
        <w:r>
          <w:rPr>
            <w:color w:val="1155CC"/>
            <w:u w:val="single"/>
          </w:rPr>
          <w:t>20-e-o-pl-no-2-630-2020/</w:t>
        </w:r>
      </w:hyperlink>
      <w:r>
        <w:t xml:space="preserve"> </w:t>
      </w:r>
      <w:r>
        <w:br/>
      </w:r>
    </w:p>
    <w:p w14:paraId="0000005C" w14:textId="77777777" w:rsidR="00554BE7" w:rsidRDefault="008347BC">
      <w:pPr>
        <w:numPr>
          <w:ilvl w:val="0"/>
          <w:numId w:val="2"/>
        </w:numPr>
        <w:jc w:val="both"/>
      </w:pPr>
      <w:hyperlink r:id="rId30">
        <w:r>
          <w:rPr>
            <w:color w:val="1155CC"/>
            <w:u w:val="single"/>
          </w:rPr>
          <w:t>https://medium.com/@redescordiais/projetos-de-lei-contra-desinfor</w:t>
        </w:r>
        <w:r>
          <w:rPr>
            <w:color w:val="1155CC"/>
            <w:u w:val="single"/>
          </w:rPr>
          <w:t>ma%C3%A7%C3%A3o-proliferam-no-brasil-e-mundo-afora-isso-%C3%A9-bom-7535eee7963b</w:t>
        </w:r>
      </w:hyperlink>
      <w:r>
        <w:br/>
      </w:r>
    </w:p>
    <w:p w14:paraId="0000005D" w14:textId="77777777" w:rsidR="00554BE7" w:rsidRDefault="008347BC">
      <w:pPr>
        <w:numPr>
          <w:ilvl w:val="0"/>
          <w:numId w:val="2"/>
        </w:numPr>
        <w:jc w:val="both"/>
      </w:pPr>
      <w:hyperlink r:id="rId31">
        <w:r>
          <w:rPr>
            <w:color w:val="1155CC"/>
            <w:u w:val="single"/>
          </w:rPr>
          <w:t>https://politica.estadao.</w:t>
        </w:r>
        <w:r>
          <w:rPr>
            <w:color w:val="1155CC"/>
            <w:u w:val="single"/>
          </w:rPr>
          <w:t>com.br/blogs/fausto-macedo/os-perigos-do-pl-sobre-responsabilidade-liberdade-e-transparencia-na-internet/</w:t>
        </w:r>
      </w:hyperlink>
      <w:r>
        <w:br/>
      </w:r>
    </w:p>
    <w:p w14:paraId="0000005E" w14:textId="77777777" w:rsidR="00554BE7" w:rsidRDefault="008347BC">
      <w:pPr>
        <w:numPr>
          <w:ilvl w:val="0"/>
          <w:numId w:val="2"/>
        </w:numPr>
        <w:jc w:val="both"/>
      </w:pPr>
      <w:hyperlink r:id="rId32">
        <w:r>
          <w:rPr>
            <w:color w:val="1155CC"/>
            <w:u w:val="single"/>
          </w:rPr>
          <w:t>https://www1.folha.uol.com.br/co</w:t>
        </w:r>
        <w:r>
          <w:rPr>
            <w:color w:val="1155CC"/>
            <w:u w:val="single"/>
          </w:rPr>
          <w:t>lunas/helio-beltrao/2020/05/liberdade-segundo-a-novisquerda.shtml</w:t>
        </w:r>
      </w:hyperlink>
      <w:r>
        <w:br/>
      </w:r>
    </w:p>
    <w:p w14:paraId="0000005F" w14:textId="77777777" w:rsidR="00554BE7" w:rsidRDefault="008347BC">
      <w:pPr>
        <w:numPr>
          <w:ilvl w:val="0"/>
          <w:numId w:val="2"/>
        </w:numPr>
        <w:jc w:val="both"/>
      </w:pPr>
      <w:hyperlink r:id="rId33">
        <w:r>
          <w:rPr>
            <w:color w:val="1155CC"/>
            <w:u w:val="single"/>
          </w:rPr>
          <w:t>https://www.gazetadopovo.com.br/opiniao/artigos/pl-1-429-2020-a-retomada-da-censura-no-brasil/</w:t>
        </w:r>
      </w:hyperlink>
      <w:r>
        <w:br/>
      </w:r>
    </w:p>
    <w:p w14:paraId="00000060" w14:textId="77777777" w:rsidR="00554BE7" w:rsidRDefault="008347BC">
      <w:pPr>
        <w:jc w:val="both"/>
        <w:rPr>
          <w:b/>
        </w:rPr>
      </w:pPr>
      <w:r>
        <w:rPr>
          <w:b/>
        </w:rPr>
        <w:t>Manifestações de autoridades e organismos internacionais</w:t>
      </w:r>
    </w:p>
    <w:p w14:paraId="00000061" w14:textId="77777777" w:rsidR="00554BE7" w:rsidRDefault="008347BC">
      <w:pPr>
        <w:numPr>
          <w:ilvl w:val="0"/>
          <w:numId w:val="7"/>
        </w:numPr>
        <w:jc w:val="both"/>
      </w:pPr>
      <w:hyperlink r:id="rId34">
        <w:r>
          <w:rPr>
            <w:color w:val="1155CC"/>
            <w:u w:val="single"/>
          </w:rPr>
          <w:t>https://www.ohchr.org/EN/NewsEvents/Pages/DisplayNews.aspx?NewsID=25729&amp;LangID=E</w:t>
        </w:r>
      </w:hyperlink>
      <w:r>
        <w:t xml:space="preserve"> </w:t>
      </w:r>
      <w:r>
        <w:br/>
      </w:r>
    </w:p>
    <w:p w14:paraId="00000062" w14:textId="77777777" w:rsidR="00554BE7" w:rsidRDefault="008347BC">
      <w:pPr>
        <w:numPr>
          <w:ilvl w:val="0"/>
          <w:numId w:val="3"/>
        </w:numPr>
        <w:jc w:val="both"/>
      </w:pPr>
      <w:hyperlink r:id="rId35">
        <w:r>
          <w:rPr>
            <w:color w:val="1155CC"/>
            <w:u w:val="single"/>
          </w:rPr>
          <w:t>https://freedex.org/wp-content/blogs.dir/2015/files/2020/04/A_HRC_44_49_AdvanceEditedVersion.pdf</w:t>
        </w:r>
      </w:hyperlink>
      <w:r>
        <w:br/>
      </w:r>
    </w:p>
    <w:p w14:paraId="00000063" w14:textId="77777777" w:rsidR="00554BE7" w:rsidRDefault="008347BC">
      <w:pPr>
        <w:numPr>
          <w:ilvl w:val="0"/>
          <w:numId w:val="3"/>
        </w:numPr>
        <w:jc w:val="both"/>
      </w:pPr>
      <w:hyperlink r:id="rId36">
        <w:r>
          <w:rPr>
            <w:color w:val="1155CC"/>
            <w:u w:val="single"/>
          </w:rPr>
          <w:t>https://www.ohchr.org/EN/NewsEvents/Pages/COVID19Guidance.aspx</w:t>
        </w:r>
      </w:hyperlink>
      <w:r>
        <w:t xml:space="preserve"> </w:t>
      </w:r>
      <w:r>
        <w:br/>
      </w:r>
    </w:p>
    <w:p w14:paraId="00000064" w14:textId="77777777" w:rsidR="00554BE7" w:rsidRDefault="008347BC">
      <w:pPr>
        <w:numPr>
          <w:ilvl w:val="0"/>
          <w:numId w:val="5"/>
        </w:numPr>
        <w:jc w:val="both"/>
      </w:pPr>
      <w:hyperlink r:id="rId37">
        <w:r>
          <w:rPr>
            <w:color w:val="1155CC"/>
            <w:u w:val="single"/>
          </w:rPr>
          <w:t>https://www.hrw.org/pt/news/2020/03/23/339866</w:t>
        </w:r>
      </w:hyperlink>
      <w:r>
        <w:br/>
      </w:r>
    </w:p>
    <w:p w14:paraId="00000065" w14:textId="77777777" w:rsidR="00554BE7" w:rsidRDefault="008347BC">
      <w:pPr>
        <w:numPr>
          <w:ilvl w:val="0"/>
          <w:numId w:val="8"/>
        </w:numPr>
        <w:jc w:val="both"/>
      </w:pPr>
      <w:hyperlink r:id="rId38">
        <w:r>
          <w:rPr>
            <w:color w:val="1155CC"/>
            <w:u w:val="single"/>
          </w:rPr>
          <w:t>https://ec.europa.eu/info/live-work-travel-eu/health/coronavirus-response/fighting-disinformation_en</w:t>
        </w:r>
      </w:hyperlink>
      <w:r>
        <w:br/>
      </w:r>
    </w:p>
    <w:p w14:paraId="00000066" w14:textId="77777777" w:rsidR="00554BE7" w:rsidRDefault="008347BC">
      <w:pPr>
        <w:numPr>
          <w:ilvl w:val="0"/>
          <w:numId w:val="8"/>
        </w:numPr>
        <w:jc w:val="both"/>
      </w:pPr>
      <w:hyperlink r:id="rId39">
        <w:r>
          <w:rPr>
            <w:color w:val="1155CC"/>
            <w:u w:val="single"/>
          </w:rPr>
          <w:t>https://ec.europa.eu/info/sites/info/files/corona_fighting_disinformation.pdf</w:t>
        </w:r>
      </w:hyperlink>
      <w:r>
        <w:t xml:space="preserve"> </w:t>
      </w:r>
      <w:r>
        <w:br/>
      </w:r>
    </w:p>
    <w:p w14:paraId="00000067" w14:textId="77777777" w:rsidR="00554BE7" w:rsidRDefault="008347BC">
      <w:pPr>
        <w:jc w:val="both"/>
        <w:rPr>
          <w:b/>
        </w:rPr>
      </w:pPr>
      <w:r>
        <w:rPr>
          <w:b/>
        </w:rPr>
        <w:t>Matérias e artigos na imprensa</w:t>
      </w:r>
    </w:p>
    <w:p w14:paraId="00000068" w14:textId="77777777" w:rsidR="00554BE7" w:rsidRDefault="008347BC">
      <w:pPr>
        <w:numPr>
          <w:ilvl w:val="0"/>
          <w:numId w:val="2"/>
        </w:numPr>
        <w:jc w:val="both"/>
      </w:pPr>
      <w:hyperlink r:id="rId40">
        <w:r>
          <w:rPr>
            <w:color w:val="1155CC"/>
            <w:u w:val="single"/>
          </w:rPr>
          <w:t>https://oglobo.globo.com/economia/uma-lei-ruim-</w:t>
        </w:r>
        <w:r>
          <w:rPr>
            <w:color w:val="1155CC"/>
            <w:u w:val="single"/>
          </w:rPr>
          <w:t>para-fake-news-24439669</w:t>
        </w:r>
      </w:hyperlink>
      <w:r>
        <w:br/>
      </w:r>
    </w:p>
    <w:p w14:paraId="00000069" w14:textId="77777777" w:rsidR="00554BE7" w:rsidRDefault="008347BC">
      <w:pPr>
        <w:numPr>
          <w:ilvl w:val="0"/>
          <w:numId w:val="2"/>
        </w:numPr>
        <w:jc w:val="both"/>
      </w:pPr>
      <w:hyperlink r:id="rId41">
        <w:r>
          <w:rPr>
            <w:color w:val="1155CC"/>
            <w:u w:val="single"/>
          </w:rPr>
          <w:t>https://porta23.blogosfera.uol.com.br/uol_amp/2020/05/24/uma-</w:t>
        </w:r>
        <w:r>
          <w:rPr>
            <w:color w:val="1155CC"/>
            <w:u w:val="single"/>
          </w:rPr>
          <w:t>lei-ruim-para-fake-news-votada-na-hora-errada-sera-um-desastre/</w:t>
        </w:r>
      </w:hyperlink>
      <w:r>
        <w:br/>
      </w:r>
    </w:p>
    <w:p w14:paraId="0000006A" w14:textId="77777777" w:rsidR="00554BE7" w:rsidRDefault="008347BC">
      <w:pPr>
        <w:numPr>
          <w:ilvl w:val="0"/>
          <w:numId w:val="2"/>
        </w:numPr>
        <w:jc w:val="both"/>
      </w:pPr>
      <w:hyperlink r:id="rId42">
        <w:r>
          <w:rPr>
            <w:color w:val="1155CC"/>
            <w:u w:val="single"/>
          </w:rPr>
          <w:t>https://porta23.blogosfera.uol.com.br/2020/05/26/e</w:t>
        </w:r>
        <w:r>
          <w:rPr>
            <w:color w:val="1155CC"/>
            <w:u w:val="single"/>
          </w:rPr>
          <w:t>-hora-de-dar-forcar-a-cpi-d-fake-news-nao-de-votar-rapido-uma-lei-ruim/</w:t>
        </w:r>
      </w:hyperlink>
      <w:r>
        <w:br/>
      </w:r>
    </w:p>
    <w:p w14:paraId="0000006B" w14:textId="77777777" w:rsidR="00554BE7" w:rsidRDefault="008347BC">
      <w:pPr>
        <w:numPr>
          <w:ilvl w:val="0"/>
          <w:numId w:val="2"/>
        </w:numPr>
        <w:jc w:val="both"/>
      </w:pPr>
      <w:hyperlink r:id="rId43">
        <w:r>
          <w:rPr>
            <w:color w:val="1155CC"/>
            <w:u w:val="single"/>
          </w:rPr>
          <w:t>https://m.cbn.globoradio.globo.com/media/audio/302385/a</w:t>
        </w:r>
        <w:r>
          <w:rPr>
            <w:color w:val="1155CC"/>
            <w:u w:val="single"/>
          </w:rPr>
          <w:t>provar-ou-nao-lei-brasileira-de-liberdade-respons.htm</w:t>
        </w:r>
      </w:hyperlink>
      <w:r>
        <w:br/>
      </w:r>
    </w:p>
    <w:p w14:paraId="0000006C" w14:textId="77777777" w:rsidR="00554BE7" w:rsidRDefault="008347BC">
      <w:pPr>
        <w:numPr>
          <w:ilvl w:val="0"/>
          <w:numId w:val="2"/>
        </w:numPr>
        <w:jc w:val="both"/>
      </w:pPr>
      <w:hyperlink r:id="rId44">
        <w:r>
          <w:rPr>
            <w:color w:val="1155CC"/>
            <w:u w:val="single"/>
          </w:rPr>
          <w:t>https://www.jota.info/coberturas-especiais/li</w:t>
        </w:r>
        <w:r>
          <w:rPr>
            <w:color w:val="1155CC"/>
            <w:u w:val="single"/>
          </w:rPr>
          <w:t>berdade-de-expressao/entre-a-censura-online-e-os-desafios-globais-da-desinformacao-22052020</w:t>
        </w:r>
      </w:hyperlink>
    </w:p>
    <w:p w14:paraId="0000006D" w14:textId="77777777" w:rsidR="00554BE7" w:rsidRDefault="00554BE7">
      <w:pPr>
        <w:ind w:left="720"/>
        <w:jc w:val="both"/>
      </w:pPr>
    </w:p>
    <w:p w14:paraId="0000006E" w14:textId="77777777" w:rsidR="00554BE7" w:rsidRDefault="008347BC">
      <w:pPr>
        <w:numPr>
          <w:ilvl w:val="0"/>
          <w:numId w:val="2"/>
        </w:numPr>
        <w:jc w:val="both"/>
      </w:pPr>
      <w:hyperlink r:id="rId45">
        <w:r>
          <w:rPr>
            <w:color w:val="1155CC"/>
            <w:u w:val="single"/>
          </w:rPr>
          <w:t>https://www1.folha.</w:t>
        </w:r>
        <w:r>
          <w:rPr>
            <w:color w:val="1155CC"/>
            <w:u w:val="single"/>
          </w:rPr>
          <w:t>uol.com.br/mundo/2020/04/numero-de-paises-com-regulacao-contra-fake-news-dispara-durante-a-pandemia.shtml</w:t>
        </w:r>
      </w:hyperlink>
    </w:p>
    <w:sectPr w:rsidR="00554BE7">
      <w:footerReference w:type="default" r:id="rId46"/>
      <w:headerReference w:type="first" r:id="rId47"/>
      <w:footerReference w:type="first" r:id="rId4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05888" w14:textId="77777777" w:rsidR="008347BC" w:rsidRDefault="008347BC">
      <w:pPr>
        <w:spacing w:line="240" w:lineRule="auto"/>
      </w:pPr>
      <w:r>
        <w:separator/>
      </w:r>
    </w:p>
  </w:endnote>
  <w:endnote w:type="continuationSeparator" w:id="0">
    <w:p w14:paraId="418BF30E" w14:textId="77777777" w:rsidR="008347BC" w:rsidRDefault="008347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71" w14:textId="75CFF067" w:rsidR="00554BE7" w:rsidRDefault="008347BC">
    <w:pPr>
      <w:jc w:val="right"/>
    </w:pPr>
    <w:r>
      <w:fldChar w:fldCharType="begin"/>
    </w:r>
    <w:r>
      <w:instrText>PAGE</w:instrText>
    </w:r>
    <w:r w:rsidR="0056517E">
      <w:fldChar w:fldCharType="separate"/>
    </w:r>
    <w:r w:rsidR="0056517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70" w14:textId="77777777" w:rsidR="00554BE7" w:rsidRDefault="00554B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F1A33" w14:textId="77777777" w:rsidR="008347BC" w:rsidRDefault="008347BC">
      <w:pPr>
        <w:spacing w:line="240" w:lineRule="auto"/>
      </w:pPr>
      <w:r>
        <w:separator/>
      </w:r>
    </w:p>
  </w:footnote>
  <w:footnote w:type="continuationSeparator" w:id="0">
    <w:p w14:paraId="13E2EF5C" w14:textId="77777777" w:rsidR="008347BC" w:rsidRDefault="008347BC">
      <w:pPr>
        <w:spacing w:line="240" w:lineRule="auto"/>
      </w:pPr>
      <w:r>
        <w:continuationSeparator/>
      </w:r>
    </w:p>
  </w:footnote>
  <w:footnote w:id="1">
    <w:p w14:paraId="00000073" w14:textId="77777777" w:rsidR="00554BE7" w:rsidRDefault="008347BC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highlight w:val="yellow"/>
        </w:rPr>
        <w:t>art. 1º, §1º; art. 4º, II, IV, V, VIII e IX; art. 5º, IV e §3º; art. 7º, II - IV; art. 10; art. 23</w:t>
      </w:r>
    </w:p>
  </w:footnote>
  <w:footnote w:id="2">
    <w:p w14:paraId="00000076" w14:textId="77777777" w:rsidR="00554BE7" w:rsidRDefault="008347BC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8"/>
          <w:szCs w:val="18"/>
          <w:highlight w:val="yellow"/>
        </w:rPr>
        <w:t>art. 4º, II</w:t>
      </w:r>
    </w:p>
  </w:footnote>
  <w:footnote w:id="3">
    <w:p w14:paraId="00000077" w14:textId="77777777" w:rsidR="00554BE7" w:rsidRDefault="008347BC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8"/>
          <w:szCs w:val="18"/>
          <w:highlight w:val="yellow"/>
        </w:rPr>
        <w:t>art. 4º, IV</w:t>
      </w:r>
    </w:p>
  </w:footnote>
  <w:footnote w:id="4">
    <w:p w14:paraId="00000078" w14:textId="77777777" w:rsidR="00554BE7" w:rsidRDefault="008347BC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highlight w:val="white"/>
        </w:rPr>
        <w:t xml:space="preserve"> </w:t>
      </w:r>
      <w:r>
        <w:rPr>
          <w:sz w:val="18"/>
          <w:szCs w:val="18"/>
          <w:highlight w:val="yellow"/>
        </w:rPr>
        <w:t>art. 5º</w:t>
      </w:r>
    </w:p>
  </w:footnote>
  <w:footnote w:id="5">
    <w:p w14:paraId="00000074" w14:textId="77777777" w:rsidR="00554BE7" w:rsidRDefault="008347BC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t xml:space="preserve"> </w:t>
      </w:r>
      <w:r>
        <w:rPr>
          <w:sz w:val="18"/>
          <w:szCs w:val="18"/>
          <w:highlight w:val="yellow"/>
        </w:rPr>
        <w:t>art. 4º, VIII</w:t>
      </w:r>
    </w:p>
  </w:footnote>
  <w:footnote w:id="6">
    <w:p w14:paraId="00000075" w14:textId="77777777" w:rsidR="00554BE7" w:rsidRDefault="008347BC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18"/>
          <w:szCs w:val="18"/>
          <w:highlight w:val="yellow"/>
        </w:rPr>
        <w:t>art. 4º, IX</w:t>
      </w:r>
    </w:p>
  </w:footnote>
  <w:footnote w:id="7">
    <w:p w14:paraId="00000072" w14:textId="77777777" w:rsidR="00554BE7" w:rsidRDefault="008347BC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b/>
        </w:rPr>
        <w:t xml:space="preserve"> </w:t>
      </w:r>
      <w:r>
        <w:rPr>
          <w:sz w:val="18"/>
          <w:szCs w:val="18"/>
          <w:highlight w:val="yellow"/>
        </w:rPr>
        <w:t>art. 6º, I e II, §1º; art. 7º, VI; art. 11; arts. 13-18; art. 20</w:t>
      </w:r>
    </w:p>
  </w:footnote>
  <w:footnote w:id="8">
    <w:p w14:paraId="00000079" w14:textId="77777777" w:rsidR="00554BE7" w:rsidRDefault="008347BC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8"/>
          <w:szCs w:val="18"/>
          <w:highlight w:val="yellow"/>
        </w:rPr>
        <w:t>art. 1º, §1º</w:t>
      </w:r>
    </w:p>
  </w:footnote>
  <w:footnote w:id="9">
    <w:p w14:paraId="0000007A" w14:textId="77777777" w:rsidR="00554BE7" w:rsidRDefault="008347BC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8"/>
          <w:szCs w:val="18"/>
          <w:highlight w:val="yellow"/>
        </w:rPr>
        <w:t>art.</w:t>
      </w:r>
      <w:r>
        <w:rPr>
          <w:sz w:val="18"/>
          <w:szCs w:val="18"/>
          <w:highlight w:val="yellow"/>
        </w:rPr>
        <w:t xml:space="preserve"> 1º, §1º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6F" w14:textId="77777777" w:rsidR="00554BE7" w:rsidRDefault="00554B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35748"/>
    <w:multiLevelType w:val="multilevel"/>
    <w:tmpl w:val="65B89B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2D644C"/>
    <w:multiLevelType w:val="multilevel"/>
    <w:tmpl w:val="FF3A1D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F80EEA"/>
    <w:multiLevelType w:val="multilevel"/>
    <w:tmpl w:val="93D605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A1763D"/>
    <w:multiLevelType w:val="multilevel"/>
    <w:tmpl w:val="9F6EC9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617C81"/>
    <w:multiLevelType w:val="multilevel"/>
    <w:tmpl w:val="7A98B8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FFC1505"/>
    <w:multiLevelType w:val="multilevel"/>
    <w:tmpl w:val="1ABCF6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BF907C6"/>
    <w:multiLevelType w:val="multilevel"/>
    <w:tmpl w:val="C9F8B8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32401B6"/>
    <w:multiLevelType w:val="multilevel"/>
    <w:tmpl w:val="B0367C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BE7"/>
    <w:rsid w:val="00554BE7"/>
    <w:rsid w:val="0056517E"/>
    <w:rsid w:val="0083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0692C-2A08-49C4-A533-AFDEACBE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c.europa.eu/digital-single-market/en/news/code-practice-disinformation" TargetMode="External"/><Relationship Id="rId18" Type="http://schemas.openxmlformats.org/officeDocument/2006/relationships/hyperlink" Target="http://epocanegocios.globo.com/Tecnologia/noticia/2017/01/poupatempo-agora-tem-robo-para-agendar-atendimentos.html" TargetMode="External"/><Relationship Id="rId26" Type="http://schemas.openxmlformats.org/officeDocument/2006/relationships/hyperlink" Target="https://www.codingrights.org/wp-content/uploads/2020/05/Nota-IP.REC-e-Coding-Rights-Lei-de-Transpar%c3%aancia-na-Internet.pdf" TargetMode="External"/><Relationship Id="rId39" Type="http://schemas.openxmlformats.org/officeDocument/2006/relationships/hyperlink" Target="https://ec.europa.eu/info/sites/info/files/corona_fighting_disinformation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jur.com.br/2018-ago-19/malasia-primeiro-pais-revogar-lei-combate-fake-news" TargetMode="External"/><Relationship Id="rId34" Type="http://schemas.openxmlformats.org/officeDocument/2006/relationships/hyperlink" Target="https://www.ohchr.org/EN/NewsEvents/Pages/DisplayNews.aspx?NewsID=25729&amp;LangID=E" TargetMode="External"/><Relationship Id="rId42" Type="http://schemas.openxmlformats.org/officeDocument/2006/relationships/hyperlink" Target="https://porta23.blogosfera.uol.com.br/2020/05/26/e-hora-de-dar-forcar-a-cpi-d-fake-news-nao-de-votar-rapido-uma-lei-ruim/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hyperlink" Target="https://www25.senado.leg.br/web/atividade/materias/-/materia/141944" TargetMode="External"/><Relationship Id="rId12" Type="http://schemas.openxmlformats.org/officeDocument/2006/relationships/hyperlink" Target="https://noticias.uol.com.br/politica/ultimas-noticias/2020/04/30/nenhum-pais-do-mundo-tem-conclusoes-sobre-fake-news-diz-relatora-de-cpmi.htm" TargetMode="External"/><Relationship Id="rId17" Type="http://schemas.openxmlformats.org/officeDocument/2006/relationships/hyperlink" Target="https://serenata.ai/" TargetMode="External"/><Relationship Id="rId25" Type="http://schemas.openxmlformats.org/officeDocument/2006/relationships/hyperlink" Target="https://www.lapin.org.br/post/nt-fake-news-rigoni" TargetMode="External"/><Relationship Id="rId33" Type="http://schemas.openxmlformats.org/officeDocument/2006/relationships/hyperlink" Target="https://www.gazetadopovo.com.br/opiniao/artigos/pl-1-429-2020-a-retomada-da-censura-no-brasil/" TargetMode="External"/><Relationship Id="rId38" Type="http://schemas.openxmlformats.org/officeDocument/2006/relationships/hyperlink" Target="https://ec.europa.eu/info/live-work-travel-eu/health/coronavirus-response/fighting-disinformation_en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convergenciadigital.com.br/cgi/cgilua.exe/sys/start.htm?UserActiveTemplate=site&amp;infoid=46309&amp;sid=3" TargetMode="External"/><Relationship Id="rId20" Type="http://schemas.openxmlformats.org/officeDocument/2006/relationships/hyperlink" Target="https://www.reuters.com/article/us-malaysia-politics-fakenews/malaysia-parliament-scraps-law-penalizing-fake-news-idUSKBN1WO1H6" TargetMode="External"/><Relationship Id="rId29" Type="http://schemas.openxmlformats.org/officeDocument/2006/relationships/hyperlink" Target="https://irisbh.com.br/publicacoes/contribuicao-sobre-os-temas-que-compoem-o-pl-no-1-429-2020-e-o-pl-no-2-630-2020/" TargetMode="External"/><Relationship Id="rId41" Type="http://schemas.openxmlformats.org/officeDocument/2006/relationships/hyperlink" Target="https://porta23.blogosfera.uol.com.br/uol_amp/2020/05/24/uma-lei-ruim-para-fake-news-votada-na-hora-errada-sera-um-desastre/?__twitter_impression=tr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ynter.org/ifcn/anti-misinformation-actions/" TargetMode="External"/><Relationship Id="rId24" Type="http://schemas.openxmlformats.org/officeDocument/2006/relationships/hyperlink" Target="https://direitosnarede.org.br/2020/05/15/combate-a-desinformacao-requer-protecao-a-liberdade-de-expressao-e-amplo-debate-com-a-sociedade.html" TargetMode="External"/><Relationship Id="rId32" Type="http://schemas.openxmlformats.org/officeDocument/2006/relationships/hyperlink" Target="https://www1.folha.uol.com.br/colunas/helio-beltrao/2020/05/liberdade-segundo-a-novisquerda.shtml" TargetMode="External"/><Relationship Id="rId37" Type="http://schemas.openxmlformats.org/officeDocument/2006/relationships/hyperlink" Target="https://www.hrw.org/pt/news/2020/03/23/339866" TargetMode="External"/><Relationship Id="rId40" Type="http://schemas.openxmlformats.org/officeDocument/2006/relationships/hyperlink" Target="https://oglobo.globo.com/economia/uma-lei-ruim-para-fake-news-24439669" TargetMode="External"/><Relationship Id="rId45" Type="http://schemas.openxmlformats.org/officeDocument/2006/relationships/hyperlink" Target="https://www1.folha.uol.com.br/mundo/2020/04/numero-de-paises-com-regulacao-contra-fake-news-dispara-durante-a-pandemia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alor.com.br/empresas/5491579/robos-ganham-voz-e-espaco-no-call-center" TargetMode="External"/><Relationship Id="rId23" Type="http://schemas.openxmlformats.org/officeDocument/2006/relationships/hyperlink" Target="https://www.poder360.com.br/coronavirus/conteudo-jornalistico-sobre-covid-19-supera-desinformacao-aponta-fgv-dapp/" TargetMode="External"/><Relationship Id="rId28" Type="http://schemas.openxmlformats.org/officeDocument/2006/relationships/hyperlink" Target="https://intervozes.org.br/publicacoes/nota-tecnica-sobre-plc-desinformacao-2020/" TargetMode="External"/><Relationship Id="rId36" Type="http://schemas.openxmlformats.org/officeDocument/2006/relationships/hyperlink" Target="https://www.ohchr.org/EN/NewsEvents/Pages/COVID19Guidance.aspx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icnl.org/covid19tracker/" TargetMode="External"/><Relationship Id="rId19" Type="http://schemas.openxmlformats.org/officeDocument/2006/relationships/hyperlink" Target="https://ec.europa.eu/info/live-work-travel-eu/health/coronavirus-response/fighting-disinformation_en" TargetMode="External"/><Relationship Id="rId31" Type="http://schemas.openxmlformats.org/officeDocument/2006/relationships/hyperlink" Target="https://politica.estadao.com.br/blogs/fausto-macedo/os-perigos-do-pl-sobre-responsabilidade-liberdade-e-transparencia-na-internet/" TargetMode="External"/><Relationship Id="rId44" Type="http://schemas.openxmlformats.org/officeDocument/2006/relationships/hyperlink" Target="https://www.jota.info/coberturas-especiais/liberdade-de-expressao/entre-a-censura-online-e-os-desafios-globais-da-desinformacao-2205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mara.leg.br/proposicoesWeb/fichadetramitacao?idProposicao=2242713" TargetMode="External"/><Relationship Id="rId14" Type="http://schemas.openxmlformats.org/officeDocument/2006/relationships/hyperlink" Target="https://ifcncodeofprinciples.poynter.org/know-more/the-commitments-of-the-code-of-principles" TargetMode="External"/><Relationship Id="rId22" Type="http://schemas.openxmlformats.org/officeDocument/2006/relationships/hyperlink" Target="https://www.nytimes.com/2020/01/21/opinion/fake-news-law-singapore.html" TargetMode="External"/><Relationship Id="rId27" Type="http://schemas.openxmlformats.org/officeDocument/2006/relationships/hyperlink" Target="https://www.nexojornal.com.br/ensaio/debate/2020/Leis-para-desinforma%C3%A7%C3%A3o-exigem-mais-do-que-boas-inten%C3%A7%C3%B5es" TargetMode="External"/><Relationship Id="rId30" Type="http://schemas.openxmlformats.org/officeDocument/2006/relationships/hyperlink" Target="https://medium.com/@redescordiais/projetos-de-lei-contra-desinforma%C3%A7%C3%A3o-proliferam-no-brasil-e-mundo-afora-isso-%C3%A9-bom-7535eee7963b" TargetMode="External"/><Relationship Id="rId35" Type="http://schemas.openxmlformats.org/officeDocument/2006/relationships/hyperlink" Target="https://freedex.org/wp-content/blogs.dir/2015/files/2020/04/A_HRC_44_49_AdvanceEditedVersion.pdf" TargetMode="External"/><Relationship Id="rId43" Type="http://schemas.openxmlformats.org/officeDocument/2006/relationships/hyperlink" Target="https://m.cbn.globoradio.globo.com/media/audio/302385/aprovar-ou-nao-lei-brasileira-de-liberdade-respons.htm" TargetMode="External"/><Relationship Id="rId48" Type="http://schemas.openxmlformats.org/officeDocument/2006/relationships/footer" Target="footer2.xml"/><Relationship Id="rId8" Type="http://schemas.openxmlformats.org/officeDocument/2006/relationships/hyperlink" Target="https://edemocracia.camara.leg.br/wikilegis/p/12-lei-brasileira-de-liberdade-responsabilidade-e-transparencia-na-inter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4488</Words>
  <Characters>24236</Characters>
  <Application>Microsoft Office Word</Application>
  <DocSecurity>0</DocSecurity>
  <Lines>201</Lines>
  <Paragraphs>57</Paragraphs>
  <ScaleCrop>false</ScaleCrop>
  <Company/>
  <LinksUpToDate>false</LinksUpToDate>
  <CharactersWithSpaces>28667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francislaine vieira</dc:creator>
  <cp:lastModifiedBy>francislaine vieira</cp:lastModifiedBy>
  <cp:revision>2</cp:revision>
  <dcterms:created xsi:type="dcterms:W3CDTF">2020-06-01T19:57:00Z</dcterms:created>
  <dcterms:modified xsi:type="dcterms:W3CDTF">2020-06-01T19:57:00Z</dcterms:modified>
</cp:coreProperties>
</file>