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3C99" w14:textId="77777777" w:rsidR="00514CA4" w:rsidRDefault="00514CA4" w:rsidP="00173BFF">
      <w:pPr>
        <w:spacing w:after="0"/>
        <w:ind w:left="709" w:right="-286"/>
        <w:jc w:val="center"/>
        <w:rPr>
          <w:b/>
          <w:sz w:val="24"/>
        </w:rPr>
      </w:pPr>
      <w:r w:rsidRPr="00514CA4">
        <w:rPr>
          <w:b/>
          <w:sz w:val="24"/>
        </w:rPr>
        <w:t>SECRETARIA-GERAL DA PRESIDÊNCIA DA REPÚBLICA</w:t>
      </w:r>
    </w:p>
    <w:p w14:paraId="06EBB238" w14:textId="77777777" w:rsidR="007E21A2" w:rsidRPr="00514CA4" w:rsidRDefault="007E21A2" w:rsidP="00173BFF">
      <w:pPr>
        <w:spacing w:after="0"/>
        <w:ind w:left="709" w:right="-286"/>
        <w:jc w:val="center"/>
        <w:rPr>
          <w:b/>
          <w:sz w:val="24"/>
        </w:rPr>
      </w:pPr>
      <w:r>
        <w:rPr>
          <w:b/>
          <w:sz w:val="24"/>
        </w:rPr>
        <w:t>Subchefia para Assuntos Jurídicos</w:t>
      </w:r>
    </w:p>
    <w:p w14:paraId="1B20D2E8" w14:textId="77777777" w:rsidR="0077152E" w:rsidRDefault="00514CA4" w:rsidP="00173BFF">
      <w:pPr>
        <w:spacing w:after="0"/>
        <w:ind w:left="709" w:right="-286"/>
        <w:jc w:val="center"/>
        <w:rPr>
          <w:b/>
          <w:sz w:val="24"/>
        </w:rPr>
      </w:pPr>
      <w:r w:rsidRPr="00514CA4">
        <w:rPr>
          <w:b/>
          <w:sz w:val="24"/>
        </w:rPr>
        <w:t>Assessoria de Comunicação Social</w:t>
      </w:r>
    </w:p>
    <w:p w14:paraId="5547C979" w14:textId="77777777" w:rsidR="007E21A2" w:rsidRDefault="007E21A2" w:rsidP="00173BFF">
      <w:pPr>
        <w:spacing w:after="0"/>
        <w:ind w:left="709" w:right="-286"/>
        <w:jc w:val="center"/>
        <w:rPr>
          <w:b/>
          <w:sz w:val="24"/>
        </w:rPr>
      </w:pPr>
    </w:p>
    <w:p w14:paraId="3E0913D4" w14:textId="77777777" w:rsidR="00173BFF" w:rsidRPr="006B1CD8" w:rsidRDefault="00173BFF" w:rsidP="00173BFF">
      <w:pPr>
        <w:spacing w:after="0"/>
        <w:ind w:left="709" w:right="-286"/>
        <w:jc w:val="center"/>
        <w:rPr>
          <w:rFonts w:cs="Calibri"/>
          <w:b/>
        </w:rPr>
      </w:pPr>
      <w:bookmarkStart w:id="0" w:name="_GoBack"/>
      <w:r w:rsidRPr="006B1CD8">
        <w:rPr>
          <w:rFonts w:cs="Calibri"/>
          <w:b/>
        </w:rPr>
        <w:t xml:space="preserve">Presidente Jair Bolsonaro sanciona o novo Marco de Saneamento Básico do Brasil </w:t>
      </w:r>
    </w:p>
    <w:bookmarkEnd w:id="0"/>
    <w:p w14:paraId="5104FD2F" w14:textId="77777777" w:rsidR="00737F1E" w:rsidRDefault="00737F1E" w:rsidP="00173BFF">
      <w:pPr>
        <w:spacing w:after="0"/>
        <w:ind w:left="709" w:right="-286"/>
        <w:jc w:val="center"/>
        <w:rPr>
          <w:rFonts w:cs="Calibri"/>
          <w:i/>
        </w:rPr>
      </w:pPr>
    </w:p>
    <w:p w14:paraId="7D4A82EE" w14:textId="008A344C" w:rsidR="00173BFF" w:rsidRPr="006B1CD8" w:rsidRDefault="00173BFF" w:rsidP="00173BFF">
      <w:pPr>
        <w:spacing w:after="0"/>
        <w:ind w:left="709" w:right="-286"/>
        <w:jc w:val="center"/>
        <w:rPr>
          <w:rFonts w:cs="Calibri"/>
          <w:i/>
        </w:rPr>
      </w:pPr>
      <w:r w:rsidRPr="006B1CD8">
        <w:rPr>
          <w:rFonts w:cs="Calibri"/>
          <w:i/>
        </w:rPr>
        <w:t>Após dois anos de debates, Brasil passa a ter uma</w:t>
      </w:r>
      <w:r w:rsidRPr="006B1CD8">
        <w:rPr>
          <w:rFonts w:cs="Calibri"/>
          <w:i/>
          <w:color w:val="171717"/>
        </w:rPr>
        <w:t xml:space="preserve"> lei que </w:t>
      </w:r>
      <w:r w:rsidRPr="006B1CD8">
        <w:rPr>
          <w:rFonts w:cs="Calibri"/>
          <w:i/>
        </w:rPr>
        <w:t xml:space="preserve">prevê água potável para 99% da população e coleta de esgoto para 90% das pessoas até 2033 </w:t>
      </w:r>
    </w:p>
    <w:p w14:paraId="2E8DD947" w14:textId="77777777" w:rsidR="00173BFF" w:rsidRPr="006B1CD8" w:rsidRDefault="00173BFF" w:rsidP="00173BFF">
      <w:pPr>
        <w:ind w:left="709" w:right="-286"/>
        <w:jc w:val="center"/>
        <w:rPr>
          <w:rFonts w:cs="Calibri"/>
        </w:rPr>
      </w:pPr>
    </w:p>
    <w:p w14:paraId="12D5332A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 xml:space="preserve">O Projeto de Lei (PL) 4.162/2019, que institui o novo marco legal do saneamento básico, foi sancionado nesta quarta-feira (15) pelo Presidente da República, Jair Bolsonaro. Entre os objetivos da nova lei estão a universalização do saneamento, que prevê a coleta de esgoto para 90% da população (hoje o número não chega a 75%, segundo dados do </w:t>
      </w:r>
      <w:hyperlink r:id="rId8" w:history="1">
        <w:r w:rsidRPr="006B1CD8">
          <w:rPr>
            <w:rStyle w:val="Hyperlink"/>
            <w:rFonts w:cs="Calibri"/>
          </w:rPr>
          <w:t>Sistema Nacional de Informações sobre Saneamento</w:t>
        </w:r>
      </w:hyperlink>
      <w:r w:rsidRPr="006B1CD8">
        <w:rPr>
          <w:rFonts w:cs="Calibri"/>
        </w:rPr>
        <w:t>), e o fornecimento de água potável para 99% da população até o fim de 2033.</w:t>
      </w:r>
    </w:p>
    <w:p w14:paraId="181898D8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 xml:space="preserve">Hoje, 35 milhões de pessoas não têm acesso à água tratada e 104 milhões não contam com serviços de coleta de esgoto no Brasil. Com o marco legal, o Ministério da Economia vislumbra que sejam feitos mais de </w:t>
      </w:r>
      <w:hyperlink r:id="rId9" w:history="1">
        <w:r w:rsidRPr="006B1CD8">
          <w:rPr>
            <w:rStyle w:val="Hyperlink"/>
            <w:rFonts w:cs="Calibri"/>
          </w:rPr>
          <w:t>R$ 700 bilhões em investimentos e gerados, em média, 700 mil empregos</w:t>
        </w:r>
      </w:hyperlink>
      <w:r w:rsidRPr="006B1CD8">
        <w:rPr>
          <w:rFonts w:cs="Calibri"/>
        </w:rPr>
        <w:t xml:space="preserve"> no país nos próximos 14 anos.</w:t>
      </w:r>
    </w:p>
    <w:p w14:paraId="02AC4DFF" w14:textId="77777777" w:rsidR="00173BFF" w:rsidRPr="006B1CD8" w:rsidRDefault="00173BFF" w:rsidP="00173BFF">
      <w:pPr>
        <w:ind w:left="709" w:right="-286"/>
        <w:jc w:val="both"/>
        <w:rPr>
          <w:rFonts w:cs="Calibri"/>
          <w:b/>
          <w:color w:val="171717"/>
        </w:rPr>
      </w:pPr>
      <w:r w:rsidRPr="006B1CD8">
        <w:rPr>
          <w:rFonts w:cs="Calibri"/>
          <w:b/>
          <w:color w:val="171717"/>
        </w:rPr>
        <w:t>PRINCIPAIS MUDANÇAS</w:t>
      </w:r>
    </w:p>
    <w:p w14:paraId="2738D39B" w14:textId="77777777" w:rsidR="00173BFF" w:rsidRPr="006B1CD8" w:rsidRDefault="00173BFF" w:rsidP="00173BFF">
      <w:pPr>
        <w:pStyle w:val="PargrafodaLista"/>
        <w:numPr>
          <w:ilvl w:val="0"/>
          <w:numId w:val="2"/>
        </w:numPr>
        <w:ind w:left="709" w:right="-286" w:firstLine="0"/>
        <w:jc w:val="both"/>
        <w:rPr>
          <w:rFonts w:cs="Calibri"/>
          <w:b/>
          <w:color w:val="171717"/>
        </w:rPr>
      </w:pPr>
      <w:r w:rsidRPr="006B1CD8">
        <w:rPr>
          <w:rFonts w:cs="Calibri"/>
          <w:b/>
          <w:color w:val="171717"/>
        </w:rPr>
        <w:t>Universalização do saneamento</w:t>
      </w:r>
    </w:p>
    <w:p w14:paraId="4A1A9BFB" w14:textId="77777777" w:rsidR="00173BFF" w:rsidRPr="006B1CD8" w:rsidRDefault="00173BFF" w:rsidP="00173BFF">
      <w:pPr>
        <w:ind w:left="709" w:right="-286"/>
        <w:jc w:val="both"/>
        <w:rPr>
          <w:rFonts w:cs="Calibri"/>
          <w:color w:val="171717"/>
        </w:rPr>
      </w:pPr>
      <w:r w:rsidRPr="006B1CD8">
        <w:rPr>
          <w:rFonts w:cs="Calibri"/>
          <w:color w:val="171717"/>
        </w:rPr>
        <w:t>O marco estabelece a data de 31 de dezembro de 2033 para a universalização dos serviços de saneamento:</w:t>
      </w:r>
    </w:p>
    <w:p w14:paraId="79DEBF47" w14:textId="77777777" w:rsidR="00173BFF" w:rsidRPr="006B1CD8" w:rsidRDefault="00173BFF" w:rsidP="00173BFF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240" w:lineRule="auto"/>
        <w:ind w:left="709" w:right="-286" w:firstLine="709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99% da população com acesso à água potável;</w:t>
      </w:r>
    </w:p>
    <w:p w14:paraId="715CF17D" w14:textId="77777777" w:rsidR="00173BFF" w:rsidRPr="006B1CD8" w:rsidRDefault="00173BFF" w:rsidP="00173BFF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240" w:lineRule="auto"/>
        <w:ind w:left="709" w:right="-286" w:firstLine="709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90% da população com acesso ao tratamento e à coleta de esgoto.</w:t>
      </w:r>
    </w:p>
    <w:p w14:paraId="15A93B6E" w14:textId="77777777" w:rsidR="00173BFF" w:rsidRPr="006B1CD8" w:rsidRDefault="00173BFF" w:rsidP="00173BFF">
      <w:pPr>
        <w:ind w:left="709" w:right="-286"/>
        <w:jc w:val="both"/>
        <w:rPr>
          <w:rFonts w:cs="Calibri"/>
          <w:color w:val="171717"/>
        </w:rPr>
      </w:pPr>
      <w:r w:rsidRPr="006B1CD8">
        <w:rPr>
          <w:rFonts w:cs="Calibri"/>
          <w:color w:val="171717"/>
        </w:rPr>
        <w:t>Caso se comprove inviabilidade técnica ou financeira, o prazo poderá ser estendido até 2040.</w:t>
      </w:r>
    </w:p>
    <w:p w14:paraId="1859978C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textAlignment w:val="baseline"/>
        <w:rPr>
          <w:rFonts w:eastAsia="Times New Roman" w:cs="Calibri"/>
          <w:color w:val="171717"/>
        </w:rPr>
      </w:pPr>
      <w:r w:rsidRPr="006B1CD8">
        <w:rPr>
          <w:rFonts w:cs="Calibri"/>
          <w:color w:val="171717"/>
        </w:rPr>
        <w:t xml:space="preserve">Se a universalização não for atingida dentro deste prazo, o projeto prevê as seguintes sanções: </w:t>
      </w:r>
      <w:r w:rsidRPr="006B1CD8">
        <w:rPr>
          <w:rFonts w:eastAsia="Times New Roman" w:cs="Calibri"/>
          <w:color w:val="171717"/>
        </w:rPr>
        <w:t>a distribuição de dividendos por parte da prestadora será proibida e o contrato caducará, devendo o município ou região retomar o serviço.</w:t>
      </w:r>
    </w:p>
    <w:p w14:paraId="40178C42" w14:textId="77777777" w:rsidR="00173BFF" w:rsidRPr="006B1CD8" w:rsidRDefault="00173BFF" w:rsidP="00173BFF">
      <w:pPr>
        <w:ind w:left="709" w:right="-286"/>
        <w:jc w:val="both"/>
        <w:rPr>
          <w:rFonts w:cs="Calibri"/>
          <w:color w:val="171717"/>
        </w:rPr>
      </w:pPr>
    </w:p>
    <w:p w14:paraId="626C94DE" w14:textId="77777777" w:rsidR="00173BFF" w:rsidRPr="006B1CD8" w:rsidRDefault="00173BFF" w:rsidP="00173BFF">
      <w:pPr>
        <w:pStyle w:val="PargrafodaLista"/>
        <w:numPr>
          <w:ilvl w:val="0"/>
          <w:numId w:val="2"/>
        </w:numPr>
        <w:ind w:left="709" w:right="-286" w:firstLine="0"/>
        <w:jc w:val="both"/>
        <w:rPr>
          <w:rFonts w:cs="Calibri"/>
          <w:b/>
          <w:color w:val="171717"/>
        </w:rPr>
      </w:pPr>
      <w:r w:rsidRPr="006B1CD8">
        <w:rPr>
          <w:rFonts w:cs="Calibri"/>
          <w:b/>
          <w:color w:val="171717"/>
        </w:rPr>
        <w:t>Licitação</w:t>
      </w:r>
    </w:p>
    <w:p w14:paraId="7A980121" w14:textId="77777777" w:rsidR="00173BFF" w:rsidRPr="006B1CD8" w:rsidRDefault="00173BFF" w:rsidP="00173BFF">
      <w:pPr>
        <w:ind w:left="709" w:right="-286"/>
        <w:jc w:val="both"/>
        <w:rPr>
          <w:rFonts w:eastAsia="Times New Roman" w:cs="Calibri"/>
          <w:color w:val="171717"/>
        </w:rPr>
      </w:pPr>
      <w:r w:rsidRPr="006B1CD8">
        <w:rPr>
          <w:rFonts w:cs="Calibri"/>
          <w:color w:val="171717"/>
        </w:rPr>
        <w:t xml:space="preserve">Atualmente, </w:t>
      </w:r>
      <w:r w:rsidRPr="006B1CD8">
        <w:rPr>
          <w:rFonts w:eastAsia="Times New Roman" w:cs="Calibri"/>
          <w:color w:val="171717"/>
        </w:rPr>
        <w:t>o abastecimento de água e o esgotamento sanitário</w:t>
      </w:r>
      <w:r w:rsidRPr="006B1CD8">
        <w:rPr>
          <w:rFonts w:cs="Calibri"/>
          <w:color w:val="171717"/>
        </w:rPr>
        <w:t xml:space="preserve"> são oferecidos, em sua maioria, por empresas públicas. Os contratos atuais prestados pelas </w:t>
      </w:r>
      <w:r w:rsidRPr="006B1CD8">
        <w:rPr>
          <w:rFonts w:eastAsia="Times New Roman" w:cs="Calibri"/>
          <w:color w:val="171717"/>
        </w:rPr>
        <w:t>companhias estaduais de saneamento</w:t>
      </w:r>
      <w:r w:rsidRPr="006B1CD8">
        <w:rPr>
          <w:rFonts w:cs="Calibri"/>
          <w:color w:val="171717"/>
        </w:rPr>
        <w:t xml:space="preserve"> são chamados de “contratos de programa”. Nesta modalidade de contratação, não existe concorrência, não são estabelecidas metas </w:t>
      </w:r>
    </w:p>
    <w:p w14:paraId="34705230" w14:textId="77777777" w:rsidR="00173BFF" w:rsidRPr="006B1CD8" w:rsidRDefault="00173BFF" w:rsidP="00173BFF">
      <w:pPr>
        <w:ind w:left="709" w:right="-286"/>
        <w:jc w:val="both"/>
        <w:rPr>
          <w:rFonts w:eastAsia="Times New Roman" w:cs="Calibri"/>
          <w:color w:val="171717"/>
        </w:rPr>
      </w:pPr>
      <w:r w:rsidRPr="006B1CD8">
        <w:rPr>
          <w:rFonts w:cs="Calibri"/>
          <w:color w:val="171717"/>
        </w:rPr>
        <w:t xml:space="preserve">O novo marco legal </w:t>
      </w:r>
      <w:r w:rsidRPr="006B1CD8">
        <w:rPr>
          <w:rFonts w:eastAsia="Times New Roman" w:cs="Calibri"/>
          <w:color w:val="171717"/>
        </w:rPr>
        <w:t xml:space="preserve">determina a realização de licitação, com participação de empresas públicas e privadas, e acaba com o direito de preferência das companhias estaduais. A realização de licitação, </w:t>
      </w:r>
      <w:r w:rsidRPr="006B1CD8">
        <w:rPr>
          <w:rFonts w:eastAsia="Times New Roman" w:cs="Calibri"/>
          <w:color w:val="171717"/>
        </w:rPr>
        <w:lastRenderedPageBreak/>
        <w:t xml:space="preserve">com concorrência entre as empresas interessadas, possibilitará a prestação do serviço por quem o fizer com maior eficiência, atendendo-se a modicidade tarifária.  </w:t>
      </w:r>
    </w:p>
    <w:p w14:paraId="540DD760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De acordo com a proposta, os contratos celebrados serão de concessão e deverão estabelecer metas de:</w:t>
      </w:r>
    </w:p>
    <w:p w14:paraId="320C52D8" w14:textId="77777777" w:rsidR="00173BFF" w:rsidRPr="006B1CD8" w:rsidRDefault="00173BFF" w:rsidP="00173BFF">
      <w:pPr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709" w:right="-286" w:firstLine="709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Expansão dos serviços;</w:t>
      </w:r>
    </w:p>
    <w:p w14:paraId="1DD30190" w14:textId="77777777" w:rsidR="00173BFF" w:rsidRPr="006B1CD8" w:rsidRDefault="00173BFF" w:rsidP="00173BFF">
      <w:pPr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709" w:right="-286" w:firstLine="709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Redução de perdas na distribuição de água tratada;</w:t>
      </w:r>
    </w:p>
    <w:p w14:paraId="42EFA3AA" w14:textId="77777777" w:rsidR="00173BFF" w:rsidRPr="006B1CD8" w:rsidRDefault="00173BFF" w:rsidP="00173BFF">
      <w:pPr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709" w:right="-286" w:firstLine="709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Qualidade na prestação dos serviços;</w:t>
      </w:r>
    </w:p>
    <w:p w14:paraId="7E668CFE" w14:textId="77777777" w:rsidR="00173BFF" w:rsidRPr="006B1CD8" w:rsidRDefault="00173BFF" w:rsidP="00173BFF">
      <w:pPr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709" w:right="-286" w:firstLine="709"/>
        <w:textAlignment w:val="baseline"/>
        <w:rPr>
          <w:rFonts w:eastAsia="Times New Roman" w:cs="Calibri"/>
          <w:color w:val="333333"/>
        </w:rPr>
      </w:pPr>
      <w:r w:rsidRPr="006B1CD8">
        <w:rPr>
          <w:rFonts w:eastAsia="Times New Roman" w:cs="Calibri"/>
          <w:color w:val="333333"/>
        </w:rPr>
        <w:t>Eficiência e uso racional da água, da energia e de outros recursos naturais;</w:t>
      </w:r>
    </w:p>
    <w:p w14:paraId="3F3BDD1E" w14:textId="77777777" w:rsidR="00173BFF" w:rsidRPr="006B1CD8" w:rsidRDefault="00173BFF" w:rsidP="00173BFF">
      <w:pPr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709" w:right="-286" w:firstLine="709"/>
        <w:textAlignment w:val="baseline"/>
        <w:rPr>
          <w:rFonts w:eastAsia="Times New Roman" w:cs="Calibri"/>
          <w:color w:val="333333"/>
        </w:rPr>
      </w:pPr>
      <w:r w:rsidRPr="006B1CD8">
        <w:rPr>
          <w:rFonts w:eastAsia="Times New Roman" w:cs="Calibri"/>
          <w:color w:val="333333"/>
        </w:rPr>
        <w:t>Reuso de despejos.</w:t>
      </w:r>
    </w:p>
    <w:p w14:paraId="769E90A7" w14:textId="77777777" w:rsidR="00173BFF" w:rsidRPr="006B1CD8" w:rsidRDefault="00173BFF" w:rsidP="00173BFF">
      <w:pPr>
        <w:ind w:left="709" w:right="-286"/>
        <w:jc w:val="both"/>
        <w:rPr>
          <w:rFonts w:eastAsia="Times New Roman" w:cs="Calibri"/>
          <w:color w:val="333333"/>
        </w:rPr>
      </w:pPr>
    </w:p>
    <w:p w14:paraId="3C203ED2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Para que a prestação de serviço atual não fique prejudicada, o texto prevê a continuação dos contratos de programas que estão em vigência, desde que sejam respeitadas as cláusulas que adaptem o instrumento ao modelo de aperfeiçoamento proposto pelo marco.</w:t>
      </w:r>
    </w:p>
    <w:p w14:paraId="3C16C459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O projeto também permite a instituição de prestação regionalizada, com agrupamento de Municípios para prestação integrada de um ou mais componentes dos serviços públicos de saneamento básico em determinada região. Desta forma, fica afastado o risco de municípios que sejam pequenos ou que tenham menos recursos ficarem de fora do processo de universalização.</w:t>
      </w:r>
    </w:p>
    <w:p w14:paraId="50775DCD" w14:textId="77777777" w:rsidR="00173BFF" w:rsidRPr="006B1CD8" w:rsidRDefault="00173BFF" w:rsidP="00173BFF">
      <w:pPr>
        <w:ind w:left="709" w:right="-286"/>
        <w:jc w:val="both"/>
        <w:rPr>
          <w:rFonts w:cs="Calibri"/>
          <w:color w:val="171717"/>
        </w:rPr>
      </w:pPr>
    </w:p>
    <w:p w14:paraId="0E5668A7" w14:textId="77777777" w:rsidR="00173BFF" w:rsidRPr="006B1CD8" w:rsidRDefault="00173BFF" w:rsidP="00173BFF">
      <w:pPr>
        <w:pStyle w:val="PargrafodaLista"/>
        <w:numPr>
          <w:ilvl w:val="0"/>
          <w:numId w:val="2"/>
        </w:numPr>
        <w:ind w:left="709" w:right="-286" w:firstLine="0"/>
        <w:jc w:val="both"/>
        <w:rPr>
          <w:rFonts w:cs="Calibri"/>
          <w:b/>
          <w:color w:val="171717"/>
        </w:rPr>
      </w:pPr>
      <w:r w:rsidRPr="006B1CD8">
        <w:rPr>
          <w:rFonts w:cs="Calibri"/>
          <w:b/>
          <w:color w:val="171717"/>
        </w:rPr>
        <w:t>Fim dos lixões</w:t>
      </w:r>
    </w:p>
    <w:p w14:paraId="23F986B7" w14:textId="77777777" w:rsidR="00173BFF" w:rsidRPr="00173BFF" w:rsidRDefault="00173BFF" w:rsidP="00173BFF">
      <w:pPr>
        <w:ind w:left="709" w:right="-286"/>
        <w:jc w:val="both"/>
        <w:rPr>
          <w:rFonts w:eastAsia="Times New Roman" w:cs="Calibri"/>
          <w:color w:val="171717"/>
        </w:rPr>
      </w:pPr>
      <w:r w:rsidRPr="006B1CD8">
        <w:rPr>
          <w:rFonts w:cs="Calibri"/>
          <w:color w:val="171717"/>
        </w:rPr>
        <w:t xml:space="preserve">O marco define novos prazos para o encerramento de lixões a céu aberto. Capitais e regiões metropolitanas terão até </w:t>
      </w:r>
      <w:r w:rsidRPr="006B1CD8">
        <w:rPr>
          <w:rFonts w:eastAsia="Times New Roman" w:cs="Calibri"/>
          <w:color w:val="171717"/>
        </w:rPr>
        <w:t>31 de dezembro de 2020 e municípios com menos de 50</w:t>
      </w:r>
      <w:r>
        <w:rPr>
          <w:rFonts w:eastAsia="Times New Roman" w:cs="Calibri"/>
          <w:color w:val="171717"/>
        </w:rPr>
        <w:t xml:space="preserve"> mil habitantes terão até 2024.</w:t>
      </w:r>
    </w:p>
    <w:p w14:paraId="36B1EF3A" w14:textId="77777777" w:rsidR="00173BFF" w:rsidRPr="006B1CD8" w:rsidRDefault="00173BFF" w:rsidP="00173BFF">
      <w:pPr>
        <w:ind w:left="709" w:right="-286"/>
        <w:jc w:val="both"/>
        <w:rPr>
          <w:rFonts w:cs="Calibri"/>
          <w:color w:val="171717"/>
        </w:rPr>
      </w:pPr>
    </w:p>
    <w:p w14:paraId="63334841" w14:textId="77777777" w:rsidR="00173BFF" w:rsidRPr="006B1CD8" w:rsidRDefault="00173BFF" w:rsidP="00173BFF">
      <w:pPr>
        <w:pStyle w:val="PargrafodaLista"/>
        <w:numPr>
          <w:ilvl w:val="0"/>
          <w:numId w:val="2"/>
        </w:numPr>
        <w:ind w:left="709" w:right="-286" w:firstLine="0"/>
        <w:jc w:val="both"/>
        <w:rPr>
          <w:rFonts w:cs="Calibri"/>
          <w:b/>
          <w:color w:val="171717"/>
        </w:rPr>
      </w:pPr>
      <w:r w:rsidRPr="006B1CD8">
        <w:rPr>
          <w:rFonts w:cs="Calibri"/>
          <w:b/>
          <w:color w:val="171717"/>
        </w:rPr>
        <w:t>Regulação do setor</w:t>
      </w:r>
    </w:p>
    <w:p w14:paraId="4167CAB1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171717"/>
        </w:rPr>
      </w:pPr>
      <w:r w:rsidRPr="006B1CD8">
        <w:rPr>
          <w:rFonts w:cs="Calibri"/>
          <w:color w:val="171717"/>
        </w:rPr>
        <w:t xml:space="preserve">A </w:t>
      </w:r>
      <w:r w:rsidRPr="006B1CD8">
        <w:rPr>
          <w:rFonts w:eastAsia="Times New Roman" w:cs="Calibri"/>
          <w:color w:val="171717"/>
        </w:rPr>
        <w:t xml:space="preserve">Agência Nacional de Águas (ANA), vinculada ao Ministério do Desenvolvimento Regional, que tem o papel de garantir a segurança hídrica do país, agora passa a editar normas de referência para a prestação de saneamento básico. </w:t>
      </w:r>
    </w:p>
    <w:p w14:paraId="45D7C36A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 xml:space="preserve">Essa medida é importante pois existem cerca de 50 agências diferentes que regulam o setor de saneamento no Brasil e geram alto custo para as operadoras. Para que haja uma padronização dos serviços, que passam a ser oferecidos também pela iniciativa privada, a ANA será responsável por sugerir normas de referência em âmbito nacional: </w:t>
      </w:r>
    </w:p>
    <w:p w14:paraId="01708E8E" w14:textId="77777777" w:rsidR="00173BFF" w:rsidRPr="00173BFF" w:rsidRDefault="00173BFF" w:rsidP="00173BFF">
      <w:pPr>
        <w:pStyle w:val="PargrafodaLista"/>
        <w:numPr>
          <w:ilvl w:val="0"/>
          <w:numId w:val="2"/>
        </w:numPr>
        <w:shd w:val="clear" w:color="auto" w:fill="FFFFFF"/>
        <w:tabs>
          <w:tab w:val="left" w:pos="8080"/>
        </w:tabs>
        <w:spacing w:before="120" w:after="120" w:line="240" w:lineRule="auto"/>
        <w:ind w:left="1418" w:right="-286"/>
        <w:jc w:val="both"/>
        <w:textAlignment w:val="baseline"/>
        <w:rPr>
          <w:rFonts w:eastAsia="Times New Roman" w:cs="Calibri"/>
          <w:color w:val="171717"/>
        </w:rPr>
      </w:pPr>
      <w:r w:rsidRPr="00173BFF">
        <w:rPr>
          <w:rFonts w:eastAsia="Times New Roman" w:cs="Calibri"/>
          <w:color w:val="171717"/>
        </w:rPr>
        <w:t>Padrões de qualidade e eficiência na prestação, manutenção e operação dos sistemas de saneamento básico;</w:t>
      </w:r>
    </w:p>
    <w:p w14:paraId="56199748" w14:textId="77777777" w:rsidR="00173BFF" w:rsidRPr="00173BFF" w:rsidRDefault="00173BFF" w:rsidP="00173BFF">
      <w:pPr>
        <w:pStyle w:val="PargrafodaLista"/>
        <w:numPr>
          <w:ilvl w:val="0"/>
          <w:numId w:val="2"/>
        </w:numPr>
        <w:shd w:val="clear" w:color="auto" w:fill="FFFFFF"/>
        <w:tabs>
          <w:tab w:val="left" w:pos="8080"/>
        </w:tabs>
        <w:spacing w:before="120" w:after="120" w:line="240" w:lineRule="auto"/>
        <w:ind w:left="1418" w:right="-286"/>
        <w:jc w:val="both"/>
        <w:textAlignment w:val="baseline"/>
        <w:rPr>
          <w:rFonts w:eastAsia="Times New Roman" w:cs="Calibri"/>
          <w:color w:val="171717"/>
        </w:rPr>
      </w:pPr>
      <w:r w:rsidRPr="00173BFF">
        <w:rPr>
          <w:rFonts w:eastAsia="Times New Roman" w:cs="Calibri"/>
          <w:color w:val="171717"/>
        </w:rPr>
        <w:t>Regulação tarifária dos serviços públicos de saneamento básico;</w:t>
      </w:r>
    </w:p>
    <w:p w14:paraId="2ECD79C1" w14:textId="77777777" w:rsidR="00173BFF" w:rsidRPr="00173BFF" w:rsidRDefault="00173BFF" w:rsidP="00173BFF">
      <w:pPr>
        <w:pStyle w:val="PargrafodaLista"/>
        <w:numPr>
          <w:ilvl w:val="0"/>
          <w:numId w:val="2"/>
        </w:numPr>
        <w:shd w:val="clear" w:color="auto" w:fill="FFFFFF"/>
        <w:tabs>
          <w:tab w:val="left" w:pos="8080"/>
        </w:tabs>
        <w:spacing w:before="120" w:after="120" w:line="240" w:lineRule="auto"/>
        <w:ind w:left="1418" w:right="-286"/>
        <w:jc w:val="both"/>
        <w:textAlignment w:val="baseline"/>
        <w:rPr>
          <w:rFonts w:eastAsia="Times New Roman" w:cs="Calibri"/>
          <w:color w:val="171717"/>
        </w:rPr>
      </w:pPr>
      <w:r w:rsidRPr="00173BFF">
        <w:rPr>
          <w:rFonts w:eastAsia="Times New Roman" w:cs="Calibri"/>
          <w:color w:val="171717"/>
        </w:rPr>
        <w:t>Padronização dos contratos de prestação de serviços públicos de saneamento básico;</w:t>
      </w:r>
    </w:p>
    <w:p w14:paraId="1BC4A2D4" w14:textId="77777777" w:rsidR="00173BFF" w:rsidRPr="00173BFF" w:rsidRDefault="00173BFF" w:rsidP="00173BFF">
      <w:pPr>
        <w:pStyle w:val="PargrafodaLista"/>
        <w:numPr>
          <w:ilvl w:val="0"/>
          <w:numId w:val="2"/>
        </w:numPr>
        <w:shd w:val="clear" w:color="auto" w:fill="FFFFFF"/>
        <w:tabs>
          <w:tab w:val="left" w:pos="8080"/>
        </w:tabs>
        <w:spacing w:before="120" w:after="120" w:line="240" w:lineRule="auto"/>
        <w:ind w:left="1418" w:right="-286"/>
        <w:jc w:val="both"/>
        <w:textAlignment w:val="baseline"/>
        <w:rPr>
          <w:rFonts w:eastAsia="Times New Roman" w:cs="Calibri"/>
          <w:color w:val="171717"/>
        </w:rPr>
      </w:pPr>
      <w:r w:rsidRPr="00173BFF">
        <w:rPr>
          <w:rFonts w:eastAsia="Times New Roman" w:cs="Calibri"/>
          <w:color w:val="171717"/>
        </w:rPr>
        <w:t>Redução progressiva e controle da perda de água.</w:t>
      </w:r>
    </w:p>
    <w:p w14:paraId="61A75DF4" w14:textId="77777777" w:rsidR="00173BFF" w:rsidRDefault="00173BFF" w:rsidP="00173BFF">
      <w:pPr>
        <w:shd w:val="clear" w:color="auto" w:fill="FFFFFF"/>
        <w:spacing w:before="120" w:after="120" w:line="240" w:lineRule="auto"/>
        <w:ind w:right="-286"/>
        <w:jc w:val="both"/>
        <w:textAlignment w:val="baseline"/>
        <w:rPr>
          <w:rFonts w:eastAsia="Times New Roman" w:cs="Calibri"/>
          <w:color w:val="171717"/>
        </w:rPr>
      </w:pPr>
    </w:p>
    <w:p w14:paraId="6CCC49A8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171717"/>
        </w:rPr>
      </w:pPr>
      <w:r w:rsidRPr="006B1CD8">
        <w:rPr>
          <w:rFonts w:eastAsia="Times New Roman" w:cs="Calibri"/>
          <w:color w:val="171717"/>
        </w:rPr>
        <w:t>É importante esclarecer que a adesão das agências reguladoras locais é voluntária.</w:t>
      </w:r>
    </w:p>
    <w:p w14:paraId="7432A112" w14:textId="77777777" w:rsidR="00173BFF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333333"/>
        </w:rPr>
      </w:pPr>
    </w:p>
    <w:p w14:paraId="555A373C" w14:textId="77777777" w:rsidR="00173BFF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333333"/>
        </w:rPr>
      </w:pPr>
    </w:p>
    <w:p w14:paraId="0105D0D7" w14:textId="77777777" w:rsidR="00173BFF" w:rsidRPr="006B1CD8" w:rsidRDefault="00173BFF" w:rsidP="00173BFF">
      <w:pPr>
        <w:shd w:val="clear" w:color="auto" w:fill="FFFFFF"/>
        <w:spacing w:before="120" w:after="120" w:line="240" w:lineRule="auto"/>
        <w:ind w:left="709" w:right="-286"/>
        <w:jc w:val="both"/>
        <w:textAlignment w:val="baseline"/>
        <w:rPr>
          <w:rFonts w:eastAsia="Times New Roman" w:cs="Calibri"/>
          <w:color w:val="333333"/>
        </w:rPr>
      </w:pPr>
    </w:p>
    <w:p w14:paraId="57298BFD" w14:textId="77777777" w:rsidR="00173BFF" w:rsidRPr="006B1CD8" w:rsidRDefault="00173BFF" w:rsidP="00173BFF">
      <w:pPr>
        <w:ind w:left="709" w:right="-286"/>
        <w:jc w:val="both"/>
        <w:rPr>
          <w:rFonts w:cs="Calibri"/>
          <w:b/>
        </w:rPr>
      </w:pPr>
      <w:r w:rsidRPr="006B1CD8">
        <w:rPr>
          <w:rFonts w:cs="Calibri"/>
          <w:b/>
        </w:rPr>
        <w:t>VETOS</w:t>
      </w:r>
    </w:p>
    <w:p w14:paraId="6FEC587A" w14:textId="77777777" w:rsidR="00173BFF" w:rsidRPr="006B1CD8" w:rsidRDefault="00173BFF" w:rsidP="00173BFF">
      <w:pPr>
        <w:ind w:left="709" w:right="-286"/>
        <w:rPr>
          <w:rFonts w:cs="Calibri"/>
        </w:rPr>
      </w:pPr>
      <w:r w:rsidRPr="006B1CD8">
        <w:rPr>
          <w:rFonts w:cs="Calibri"/>
        </w:rPr>
        <w:t>Com relação ao Projeto de Lei 4.162/2019, foram vetados os seguintes dispositivos:</w:t>
      </w:r>
    </w:p>
    <w:p w14:paraId="590B3761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- Art. 14, §§ 6º e 7º, pois ao criarem uma nova regra para indenização de investimentos não amortizados das prestadoras de saneamento, geram insegurança jurídica por descompasso ao já previsto na Lei nº 8987/95 (Lei de Concessões). Ademais, como não é possível na pratica a distinção da receita proveniente de tarifa direcionada para um ativo, haveria inviabilidade de pagamento da indenização;</w:t>
      </w:r>
    </w:p>
    <w:p w14:paraId="1E587635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- Art. 16, caput e parágrafo único, ao permitirem o reconhecimento de situações de fato e a renovação, por mais 30 anos, destes ajustes atualmente informais e dos atuais contratos de programa, prolongam demasiadamente a situação atual, de forma a postergar soluções para os impactos ambientais e de saúde pública de correntes da falta de saneamento básico e da gestão inadequada da limpeza urbana e manejo de resíduos sólidos. Ademais, os dispositivos foram vetados por estarem em descompasso com os objetivos do novo marco legal do saneamento básico, que orientam a celebração de contratos de concessão, mediante prévia licitação, estimulando a competitividade da prestação desses serviços com eficiência e eficácia, o que por sua vez contribui para melhores resultados.;</w:t>
      </w:r>
    </w:p>
    <w:p w14:paraId="42BB8D4B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- Art. 20, integralmente, por quebrar a isonomia entre as atividades de saneamento básico, de forma a impactar negativamente na competição saudável entre os interessados na prestação desses serviços, além de tornar menos atraente os investimentos, em descompasso com a almejada universalização dos serviços, foco do novo marco do saneamento, que busca promover ganhos de qualidade, efetividade e melhor relação custo-benefício para a população atendida;</w:t>
      </w:r>
    </w:p>
    <w:p w14:paraId="30285F5F" w14:textId="77777777" w:rsidR="00173BFF" w:rsidRPr="006B1CD8" w:rsidRDefault="00173BFF" w:rsidP="00173BFF">
      <w:pPr>
        <w:pBdr>
          <w:bottom w:val="single" w:sz="6" w:space="1" w:color="auto"/>
        </w:pBdr>
        <w:ind w:left="709" w:right="-286"/>
        <w:jc w:val="both"/>
        <w:rPr>
          <w:rFonts w:cs="Calibri"/>
        </w:rPr>
      </w:pPr>
    </w:p>
    <w:p w14:paraId="17DF9349" w14:textId="77777777" w:rsidR="00173BFF" w:rsidRPr="006B1CD8" w:rsidRDefault="00173BFF" w:rsidP="00173BFF">
      <w:pPr>
        <w:ind w:left="709" w:right="-286"/>
        <w:jc w:val="both"/>
        <w:rPr>
          <w:rFonts w:cs="Calibri"/>
          <w:b/>
          <w:i/>
        </w:rPr>
      </w:pPr>
      <w:r w:rsidRPr="006B1CD8">
        <w:rPr>
          <w:rFonts w:cs="Calibri"/>
          <w:b/>
          <w:i/>
        </w:rPr>
        <w:t>O que é um marco regulatório?</w:t>
      </w:r>
    </w:p>
    <w:p w14:paraId="77220DD7" w14:textId="77777777" w:rsidR="00173BFF" w:rsidRPr="006B1CD8" w:rsidRDefault="00173BFF" w:rsidP="00173BFF">
      <w:pPr>
        <w:ind w:left="709" w:right="-286"/>
        <w:jc w:val="both"/>
        <w:rPr>
          <w:rFonts w:cs="Calibri"/>
          <w:i/>
        </w:rPr>
      </w:pPr>
      <w:r w:rsidRPr="006B1CD8">
        <w:rPr>
          <w:rFonts w:cs="Calibri"/>
          <w:i/>
        </w:rPr>
        <w:t xml:space="preserve">É um conjunto de normas, regras e leis que regulam o funcionamento de setores, nos </w:t>
      </w:r>
      <w:r w:rsidRPr="006B1CD8">
        <w:rPr>
          <w:rFonts w:cs="Calibri"/>
          <w:i/>
        </w:rPr>
        <w:t>quais agentes</w:t>
      </w:r>
      <w:r w:rsidRPr="006B1CD8">
        <w:rPr>
          <w:rFonts w:cs="Calibri"/>
          <w:i/>
        </w:rPr>
        <w:t xml:space="preserve"> privados prestam serviços públicos.</w:t>
      </w:r>
    </w:p>
    <w:p w14:paraId="7079E564" w14:textId="77777777" w:rsidR="00173BFF" w:rsidRPr="006B1CD8" w:rsidRDefault="00173BFF" w:rsidP="00173BFF">
      <w:pPr>
        <w:ind w:left="709" w:right="-286"/>
        <w:jc w:val="both"/>
        <w:rPr>
          <w:rFonts w:cs="Calibri"/>
        </w:rPr>
      </w:pPr>
    </w:p>
    <w:p w14:paraId="43EF925C" w14:textId="1FE3112E" w:rsidR="007E21A2" w:rsidRDefault="00173BFF" w:rsidP="00C73183">
      <w:pPr>
        <w:ind w:left="709" w:right="-286"/>
        <w:jc w:val="both"/>
        <w:rPr>
          <w:rFonts w:cs="Calibri"/>
        </w:rPr>
      </w:pPr>
      <w:r w:rsidRPr="006B1CD8">
        <w:rPr>
          <w:rFonts w:cs="Calibri"/>
        </w:rPr>
        <w:t>Por fim, cabe destacar que o Veto Presidencial não representa um ato de confronto do Poder Executivo ao Poder Legislativo, muito pelo contrário.</w:t>
      </w:r>
      <w:r w:rsidRPr="006B1CD8">
        <w:rPr>
          <w:rFonts w:cs="Calibri"/>
          <w:b/>
        </w:rPr>
        <w:t xml:space="preserve"> </w:t>
      </w:r>
      <w:r w:rsidRPr="006B1CD8">
        <w:rPr>
          <w:rFonts w:cs="Calibri"/>
        </w:rPr>
        <w:t xml:space="preserve">Caso o Presidente da República considere um projeto, no todo ou em parte, inconstitucional, deverá aplicar o </w:t>
      </w:r>
      <w:r w:rsidRPr="006B1CD8">
        <w:rPr>
          <w:rFonts w:cs="Calibri"/>
          <w:b/>
        </w:rPr>
        <w:t>veto jurídico</w:t>
      </w:r>
      <w:r w:rsidRPr="006B1CD8">
        <w:rPr>
          <w:rFonts w:cs="Calibri"/>
        </w:rPr>
        <w:t xml:space="preserve">, em várias oportunidades para evitar a </w:t>
      </w:r>
      <w:r w:rsidRPr="006B1CD8">
        <w:rPr>
          <w:rFonts w:cs="Calibri"/>
        </w:rPr>
        <w:t>acusação de</w:t>
      </w:r>
      <w:r w:rsidRPr="006B1CD8">
        <w:rPr>
          <w:rFonts w:cs="Calibri"/>
        </w:rPr>
        <w:t xml:space="preserve"> Crime de Responsabilidade. Por outro lado, caso o Presidente da República considere a proposta, ou parte dela, contrária ao interesse público, poderá aplicar o </w:t>
      </w:r>
      <w:r w:rsidRPr="006B1CD8">
        <w:rPr>
          <w:rFonts w:cs="Calibri"/>
          <w:b/>
        </w:rPr>
        <w:t>veto político</w:t>
      </w:r>
      <w:r w:rsidRPr="006B1CD8">
        <w:rPr>
          <w:rFonts w:cs="Calibri"/>
        </w:rPr>
        <w:t>. Entretanto, apesar do veto presidencial, a decisão final sobre esses vetos cabe ao Parlamento, em absoluto respeito à harmonia e independência entre os Poderes.</w:t>
      </w:r>
    </w:p>
    <w:p w14:paraId="5608499B" w14:textId="78087D88" w:rsidR="009C3D61" w:rsidRPr="009C3D61" w:rsidRDefault="009C3D61" w:rsidP="009C3D61">
      <w:pPr>
        <w:spacing w:after="0"/>
        <w:ind w:left="709" w:right="-284"/>
        <w:jc w:val="both"/>
        <w:rPr>
          <w:rFonts w:cs="Calibri"/>
          <w:i/>
        </w:rPr>
      </w:pPr>
      <w:r w:rsidRPr="009C3D61">
        <w:rPr>
          <w:rFonts w:cs="Calibri"/>
          <w:i/>
          <w:highlight w:val="lightGray"/>
        </w:rPr>
        <w:lastRenderedPageBreak/>
        <w:t>Para mais informações:</w:t>
      </w:r>
    </w:p>
    <w:p w14:paraId="73FF134D" w14:textId="77777777" w:rsidR="009C3D61" w:rsidRPr="009C3D61" w:rsidRDefault="009C3D61" w:rsidP="009C3D61">
      <w:pPr>
        <w:spacing w:after="0"/>
        <w:ind w:left="709" w:right="-284"/>
        <w:jc w:val="both"/>
        <w:rPr>
          <w:rFonts w:cs="Calibri"/>
          <w:i/>
        </w:rPr>
      </w:pPr>
    </w:p>
    <w:p w14:paraId="2D69072A" w14:textId="16FC9C26" w:rsidR="009C3D61" w:rsidRPr="009C3D61" w:rsidRDefault="009C3D61" w:rsidP="009C3D61">
      <w:pPr>
        <w:spacing w:after="0"/>
        <w:ind w:left="709" w:right="-284"/>
        <w:jc w:val="both"/>
        <w:rPr>
          <w:rFonts w:cs="Calibri"/>
          <w:b/>
          <w:i/>
        </w:rPr>
      </w:pPr>
      <w:r w:rsidRPr="009C3D61">
        <w:rPr>
          <w:rFonts w:cs="Calibri"/>
          <w:b/>
          <w:i/>
        </w:rPr>
        <w:t>Ministé</w:t>
      </w:r>
      <w:r w:rsidRPr="009C3D61">
        <w:rPr>
          <w:rFonts w:cs="Calibri"/>
          <w:b/>
          <w:i/>
        </w:rPr>
        <w:t>rio do Desenvolvimento Regional</w:t>
      </w:r>
    </w:p>
    <w:p w14:paraId="3144AF93" w14:textId="77777777" w:rsidR="009C3D61" w:rsidRPr="009C3D61" w:rsidRDefault="009C3D61" w:rsidP="009C3D61">
      <w:pPr>
        <w:spacing w:after="0"/>
        <w:ind w:left="709" w:right="-284"/>
        <w:jc w:val="both"/>
        <w:rPr>
          <w:rFonts w:cs="Calibri"/>
          <w:i/>
        </w:rPr>
      </w:pPr>
      <w:r w:rsidRPr="009C3D61">
        <w:rPr>
          <w:rFonts w:cs="Calibri"/>
          <w:i/>
        </w:rPr>
        <w:t>Telefones: (61) 2034-5498 - (61) 2034-5399</w:t>
      </w:r>
    </w:p>
    <w:p w14:paraId="331061A9" w14:textId="77777777" w:rsidR="009C3D61" w:rsidRPr="009C3D61" w:rsidRDefault="009C3D61" w:rsidP="009C3D61">
      <w:pPr>
        <w:spacing w:after="0"/>
        <w:ind w:left="709" w:right="-284"/>
        <w:jc w:val="both"/>
        <w:rPr>
          <w:rFonts w:cs="Calibri"/>
          <w:i/>
        </w:rPr>
      </w:pPr>
      <w:r w:rsidRPr="009C3D61">
        <w:rPr>
          <w:rFonts w:cs="Calibri"/>
          <w:i/>
        </w:rPr>
        <w:t>E-mail: imprensa@mdr.gov.br</w:t>
      </w:r>
    </w:p>
    <w:p w14:paraId="6516C6D5" w14:textId="167F6045" w:rsidR="009C3D61" w:rsidRPr="009C3D61" w:rsidRDefault="009C3D61" w:rsidP="009C3D61">
      <w:pPr>
        <w:spacing w:after="0"/>
        <w:ind w:left="709" w:right="-284"/>
        <w:jc w:val="both"/>
        <w:rPr>
          <w:rFonts w:cs="Calibri"/>
          <w:i/>
        </w:rPr>
      </w:pPr>
      <w:r w:rsidRPr="009C3D61">
        <w:rPr>
          <w:rFonts w:cs="Calibri"/>
          <w:i/>
        </w:rPr>
        <w:t>Site: https://www.mdr.gov.br/</w:t>
      </w:r>
    </w:p>
    <w:sectPr w:rsidR="009C3D61" w:rsidRPr="009C3D61" w:rsidSect="00B15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90" w:right="1701" w:bottom="1417" w:left="993" w:header="567" w:footer="1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0DAE" w14:textId="77777777" w:rsidR="002B50F1" w:rsidRDefault="002B50F1" w:rsidP="00B15C8F">
      <w:pPr>
        <w:spacing w:after="0" w:line="240" w:lineRule="auto"/>
      </w:pPr>
      <w:r>
        <w:separator/>
      </w:r>
    </w:p>
  </w:endnote>
  <w:endnote w:type="continuationSeparator" w:id="0">
    <w:p w14:paraId="073973E1" w14:textId="77777777" w:rsidR="002B50F1" w:rsidRDefault="002B50F1" w:rsidP="00B1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EEF7" w14:textId="77777777" w:rsidR="007F1561" w:rsidRDefault="007F15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A637D" w14:textId="77777777" w:rsidR="007F1561" w:rsidRDefault="007F15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62064" w14:textId="77777777" w:rsidR="007F1561" w:rsidRDefault="007F15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334D" w14:textId="77777777" w:rsidR="002B50F1" w:rsidRDefault="002B50F1" w:rsidP="00B15C8F">
      <w:pPr>
        <w:spacing w:after="0" w:line="240" w:lineRule="auto"/>
      </w:pPr>
      <w:r>
        <w:separator/>
      </w:r>
    </w:p>
  </w:footnote>
  <w:footnote w:type="continuationSeparator" w:id="0">
    <w:p w14:paraId="62A5D8F4" w14:textId="77777777" w:rsidR="002B50F1" w:rsidRDefault="002B50F1" w:rsidP="00B15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D1F60" w14:textId="77777777" w:rsidR="007F1561" w:rsidRDefault="007F15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6568" w14:textId="77777777" w:rsidR="00B15C8F" w:rsidRDefault="00B15C8F" w:rsidP="00B15C8F">
    <w:pPr>
      <w:pStyle w:val="Cabealho"/>
      <w:rPr>
        <w:color w:val="808080" w:themeColor="background1" w:themeShade="80"/>
      </w:rPr>
    </w:pPr>
    <w:r w:rsidRPr="00B15C8F">
      <w:rPr>
        <w:noProof/>
        <w:color w:val="808080" w:themeColor="background1" w:themeShade="80"/>
      </w:rPr>
      <w:drawing>
        <wp:anchor distT="0" distB="0" distL="114300" distR="114300" simplePos="0" relativeHeight="251658240" behindDoc="1" locked="0" layoutInCell="1" allowOverlap="1" wp14:anchorId="6016929F" wp14:editId="5D03B55A">
          <wp:simplePos x="0" y="0"/>
          <wp:positionH relativeFrom="page">
            <wp:align>left</wp:align>
          </wp:positionH>
          <wp:positionV relativeFrom="paragraph">
            <wp:posOffset>-388620</wp:posOffset>
          </wp:positionV>
          <wp:extent cx="7585710" cy="10736580"/>
          <wp:effectExtent l="0" t="0" r="0" b="7620"/>
          <wp:wrapNone/>
          <wp:docPr id="1" name="Imagem 0" descr="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710" cy="1073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5C8F">
      <w:rPr>
        <w:color w:val="808080" w:themeColor="background1" w:themeShade="80"/>
      </w:rPr>
      <w:t>Brasília</w:t>
    </w:r>
    <w:r w:rsidR="008E7A35">
      <w:rPr>
        <w:color w:val="808080" w:themeColor="background1" w:themeShade="80"/>
      </w:rPr>
      <w:t>, DF</w:t>
    </w:r>
  </w:p>
  <w:p w14:paraId="4CF0080B" w14:textId="77777777" w:rsidR="00514CA4" w:rsidRPr="00B15C8F" w:rsidRDefault="00514CA4" w:rsidP="00B15C8F">
    <w:pPr>
      <w:pStyle w:val="Cabealho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DBBF6" w14:textId="77777777" w:rsidR="007F1561" w:rsidRDefault="007F15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1F80"/>
    <w:multiLevelType w:val="multilevel"/>
    <w:tmpl w:val="598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44B61"/>
    <w:multiLevelType w:val="multilevel"/>
    <w:tmpl w:val="0592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636F0"/>
    <w:multiLevelType w:val="multilevel"/>
    <w:tmpl w:val="AC1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65288"/>
    <w:multiLevelType w:val="hybridMultilevel"/>
    <w:tmpl w:val="0296A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8F"/>
    <w:rsid w:val="0005712E"/>
    <w:rsid w:val="000C407A"/>
    <w:rsid w:val="00173BFF"/>
    <w:rsid w:val="001E6338"/>
    <w:rsid w:val="002B50F1"/>
    <w:rsid w:val="00505806"/>
    <w:rsid w:val="00514CA4"/>
    <w:rsid w:val="00635666"/>
    <w:rsid w:val="0065617A"/>
    <w:rsid w:val="006D332F"/>
    <w:rsid w:val="00737F1E"/>
    <w:rsid w:val="0077152E"/>
    <w:rsid w:val="007E21A2"/>
    <w:rsid w:val="007F1561"/>
    <w:rsid w:val="008B25B4"/>
    <w:rsid w:val="008E7A35"/>
    <w:rsid w:val="0091689A"/>
    <w:rsid w:val="00950C61"/>
    <w:rsid w:val="009A05EC"/>
    <w:rsid w:val="009C3D61"/>
    <w:rsid w:val="009D3F7A"/>
    <w:rsid w:val="00B15C8F"/>
    <w:rsid w:val="00BD3BCA"/>
    <w:rsid w:val="00C55892"/>
    <w:rsid w:val="00C73183"/>
    <w:rsid w:val="00E6687B"/>
    <w:rsid w:val="00E72A50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43696"/>
  <w15:docId w15:val="{F80ED37B-A6A9-46F2-B0CB-B1D815B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C8F"/>
  </w:style>
  <w:style w:type="paragraph" w:styleId="Rodap">
    <w:name w:val="footer"/>
    <w:basedOn w:val="Normal"/>
    <w:link w:val="RodapChar"/>
    <w:uiPriority w:val="99"/>
    <w:unhideWhenUsed/>
    <w:rsid w:val="00B1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C8F"/>
  </w:style>
  <w:style w:type="paragraph" w:styleId="Textodebalo">
    <w:name w:val="Balloon Text"/>
    <w:basedOn w:val="Normal"/>
    <w:link w:val="TextodebaloChar"/>
    <w:uiPriority w:val="99"/>
    <w:semiHidden/>
    <w:unhideWhenUsed/>
    <w:rsid w:val="00B1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C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168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3BF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Refdecomentrio">
    <w:name w:val="annotation reference"/>
    <w:uiPriority w:val="99"/>
    <w:semiHidden/>
    <w:unhideWhenUsed/>
    <w:rsid w:val="00173B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3BFF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3BFF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is.gov.br/downloads/diagnosticos/ae/2018/Diagnostico_AE2018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pt-br/noticias/transito-e-transportes/2020/06/novo-marco-do-saneamento-permitira-a-universalizacao-do-servic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F908-5B2E-47A6-BCF4-13A62115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Sampaio de Carvalho</dc:creator>
  <cp:lastModifiedBy>Leticia Jabali do Carmo</cp:lastModifiedBy>
  <cp:revision>4</cp:revision>
  <cp:lastPrinted>2020-07-15T15:42:00Z</cp:lastPrinted>
  <dcterms:created xsi:type="dcterms:W3CDTF">2020-07-15T15:27:00Z</dcterms:created>
  <dcterms:modified xsi:type="dcterms:W3CDTF">2020-07-15T16:07:00Z</dcterms:modified>
</cp:coreProperties>
</file>